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Under the Securities Exchange Act of 1934</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(Amendment No. 3)</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Revolution Medicines,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3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Common Stock, par value $0.0001 per share</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76155X100</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9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December 31, 2023</w:t>
      </w:r>
    </w:p>
    <w:p>
      <w:pPr>
        <w:spacing w:after="0" w:line="2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30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is filed:</w:t>
      </w:r>
    </w:p>
    <w:p>
      <w:pPr>
        <w:spacing w:after="0" w:line="212"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Rule 13d-1(c)</w:t>
      </w:r>
    </w:p>
    <w:p>
      <w:pPr>
        <w:spacing w:after="0" w:line="220" w:lineRule="exact"/>
        <w:rPr>
          <w:sz w:val="24"/>
          <w:szCs w:val="24"/>
          <w:color w:val="auto"/>
        </w:rPr>
      </w:pPr>
    </w:p>
    <w:p>
      <w:pPr>
        <w:ind w:left="780" w:hanging="124"/>
        <w:spacing w:after="0"/>
        <w:tabs>
          <w:tab w:leader="none" w:pos="780" w:val="left"/>
        </w:tabs>
        <w:numPr>
          <w:ilvl w:val="1"/>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Rule 13d-1(d)</w:t>
      </w:r>
    </w:p>
    <w:p>
      <w:pPr>
        <w:spacing w:after="0" w:line="215" w:lineRule="exact"/>
        <w:rPr>
          <w:rFonts w:ascii="Times New Roman" w:cs="Times New Roman" w:eastAsia="Times New Roman" w:hAnsi="Times New Roman"/>
          <w:sz w:val="20"/>
          <w:szCs w:val="20"/>
          <w:color w:val="auto"/>
        </w:rPr>
      </w:pPr>
    </w:p>
    <w:p>
      <w:pPr>
        <w:ind w:right="340"/>
        <w:spacing w:after="0" w:line="295" w:lineRule="auto"/>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8"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0" w:lineRule="exact"/>
        <w:rPr>
          <w:sz w:val="24"/>
          <w:szCs w:val="24"/>
          <w:color w:val="auto"/>
        </w:rPr>
      </w:pPr>
    </w:p>
    <w:p>
      <w:pPr>
        <w:ind w:right="280"/>
        <w:spacing w:after="0" w:line="273" w:lineRule="auto"/>
        <w:rPr>
          <w:sz w:val="20"/>
          <w:szCs w:val="20"/>
          <w:color w:val="auto"/>
        </w:rPr>
      </w:pPr>
      <w:r>
        <w:rPr>
          <w:rFonts w:ascii="Times New Roman" w:cs="Times New Roman" w:eastAsia="Times New Roman" w:hAnsi="Times New Roman"/>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20"/>
          </w:cols>
          <w:pgMar w:left="320" w:top="221"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76155X100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LLC</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132,579</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132,579</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132,579</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OO, IA</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22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76155X100</w:t>
      </w:r>
    </w:p>
    <w:p>
      <w:pPr>
        <w:spacing w:after="0" w:line="200" w:lineRule="exact"/>
        <w:rPr>
          <w:sz w:val="20"/>
          <w:szCs w:val="20"/>
          <w:color w:val="auto"/>
        </w:rPr>
      </w:pPr>
    </w:p>
    <w:p>
      <w:pPr>
        <w:spacing w:after="0" w:line="264"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Oleg Nodelman</w:t>
      </w:r>
    </w:p>
    <w:p>
      <w:pPr>
        <w:spacing w:after="0" w:line="233"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United States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1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132,579</w:t>
            </w:r>
          </w:p>
        </w:tc>
        <w:tc>
          <w:tcPr>
            <w:tcW w:w="0" w:type="dxa"/>
            <w:vAlign w:val="bottom"/>
          </w:tcPr>
          <w:p>
            <w:pPr>
              <w:spacing w:after="0"/>
              <w:rPr>
                <w:sz w:val="1"/>
                <w:szCs w:val="1"/>
                <w:color w:val="auto"/>
              </w:rPr>
            </w:pPr>
          </w:p>
        </w:tc>
      </w:tr>
      <w:tr>
        <w:trPr>
          <w:trHeight w:val="164"/>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160" w:type="dxa"/>
            <w:vAlign w:val="bottom"/>
          </w:tcPr>
          <w:p>
            <w:pPr>
              <w:ind w:left="100"/>
              <w:spacing w:after="0" w:line="200" w:lineRule="exact"/>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w:t>
            </w:r>
          </w:p>
        </w:tc>
        <w:tc>
          <w:tcPr>
            <w:tcW w:w="8820" w:type="dxa"/>
            <w:vAlign w:val="bottom"/>
          </w:tcPr>
          <w:p>
            <w:pPr>
              <w:ind w:left="20"/>
              <w:spacing w:after="0" w:line="200" w:lineRule="exact"/>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131"/>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tcPr>
          <w:p>
            <w:pPr>
              <w:spacing w:after="0"/>
              <w:rPr>
                <w:sz w:val="11"/>
                <w:szCs w:val="11"/>
                <w:color w:val="auto"/>
              </w:rPr>
            </w:pPr>
          </w:p>
        </w:tc>
        <w:tc>
          <w:tcPr>
            <w:tcW w:w="8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132,579</w:t>
            </w:r>
          </w:p>
        </w:tc>
        <w:tc>
          <w:tcPr>
            <w:tcW w:w="0" w:type="dxa"/>
            <w:vAlign w:val="bottom"/>
          </w:tcPr>
          <w:p>
            <w:pPr>
              <w:spacing w:after="0"/>
              <w:rPr>
                <w:sz w:val="1"/>
                <w:szCs w:val="1"/>
                <w:color w:val="auto"/>
              </w:rPr>
            </w:pPr>
          </w:p>
        </w:tc>
      </w:tr>
      <w:tr>
        <w:trPr>
          <w:trHeight w:val="177"/>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vMerge w:val="continue"/>
          </w:tcPr>
          <w:p>
            <w:pPr>
              <w:spacing w:after="0"/>
              <w:rPr>
                <w:sz w:val="15"/>
                <w:szCs w:val="15"/>
                <w:color w:val="auto"/>
              </w:rPr>
            </w:pPr>
          </w:p>
        </w:tc>
        <w:tc>
          <w:tcPr>
            <w:tcW w:w="8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75"/>
        </w:trPr>
        <w:tc>
          <w:tcPr>
            <w:tcW w:w="2160" w:type="dxa"/>
            <w:vAlign w:val="bottom"/>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88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132,579</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22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76155X100</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Names of Reporting Persons.</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Check the Appropriate Box if a Member of a Group (See Instructions)</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1580" w:hanging="276"/>
        <w:spacing w:after="0"/>
        <w:tabs>
          <w:tab w:leader="none" w:pos="158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______</w:t>
      </w:r>
    </w:p>
    <w:p>
      <w:pPr>
        <w:spacing w:after="0" w:line="229" w:lineRule="exact"/>
        <w:rPr>
          <w:rFonts w:ascii="Times New Roman" w:cs="Times New Roman" w:eastAsia="Times New Roman" w:hAnsi="Times New Roman"/>
          <w:sz w:val="20"/>
          <w:szCs w:val="20"/>
          <w:color w:val="auto"/>
        </w:rPr>
      </w:pPr>
    </w:p>
    <w:p>
      <w:pPr>
        <w:ind w:left="860" w:hanging="204"/>
        <w:spacing w:after="0"/>
        <w:tabs>
          <w:tab w:leader="none" w:pos="86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 Use Only</w:t>
      </w:r>
    </w:p>
    <w:p>
      <w:pPr>
        <w:spacing w:after="0" w:line="200" w:lineRule="exact"/>
        <w:rPr>
          <w:rFonts w:ascii="Times New Roman" w:cs="Times New Roman" w:eastAsia="Times New Roman" w:hAnsi="Times New Roman"/>
          <w:sz w:val="20"/>
          <w:szCs w:val="20"/>
          <w:color w:val="auto"/>
        </w:rPr>
      </w:pPr>
    </w:p>
    <w:p>
      <w:pPr>
        <w:spacing w:after="0" w:line="254"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Citizenship or Place of Organization </w:t>
      </w:r>
      <w:r>
        <w:rPr>
          <w:rFonts w:ascii="Times New Roman" w:cs="Times New Roman" w:eastAsia="Times New Roman" w:hAnsi="Times New Roman"/>
          <w:sz w:val="20"/>
          <w:szCs w:val="20"/>
          <w:b w:val="1"/>
          <w:bCs w:val="1"/>
          <w:color w:val="auto"/>
        </w:rPr>
        <w:t>Delaware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160" w:type="dxa"/>
            <w:vAlign w:val="bottom"/>
            <w:tcBorders>
              <w:top w:val="single" w:sz="8" w:color="auto"/>
            </w:tcBorders>
          </w:tcPr>
          <w:p>
            <w:pPr>
              <w:ind w:left="100"/>
              <w:spacing w:after="0" w:line="220" w:lineRule="exact"/>
              <w:rPr>
                <w:sz w:val="20"/>
                <w:szCs w:val="20"/>
                <w:color w:val="auto"/>
              </w:rPr>
            </w:pPr>
            <w:r>
              <w:rPr>
                <w:rFonts w:ascii="Times New Roman" w:cs="Times New Roman" w:eastAsia="Times New Roman" w:hAnsi="Times New Roman"/>
                <w:sz w:val="20"/>
                <w:szCs w:val="20"/>
                <w:color w:val="auto"/>
              </w:rPr>
              <w:t>Number of</w:t>
            </w:r>
          </w:p>
        </w:tc>
        <w:tc>
          <w:tcPr>
            <w:tcW w:w="260" w:type="dxa"/>
            <w:vAlign w:val="bottom"/>
            <w:tcBorders>
              <w:top w:val="single" w:sz="8" w:color="auto"/>
            </w:tcBorders>
          </w:tcPr>
          <w:p>
            <w:pPr>
              <w:jc w:val="right"/>
              <w:spacing w:after="0" w:line="220" w:lineRule="exact"/>
              <w:rPr>
                <w:sz w:val="20"/>
                <w:szCs w:val="20"/>
                <w:color w:val="auto"/>
              </w:rPr>
            </w:pPr>
            <w:r>
              <w:rPr>
                <w:rFonts w:ascii="Times New Roman" w:cs="Times New Roman" w:eastAsia="Times New Roman" w:hAnsi="Times New Roman"/>
                <w:sz w:val="20"/>
                <w:szCs w:val="20"/>
                <w:color w:val="auto"/>
              </w:rPr>
              <w:t>5.</w:t>
            </w:r>
          </w:p>
        </w:tc>
        <w:tc>
          <w:tcPr>
            <w:tcW w:w="8820" w:type="dxa"/>
            <w:vAlign w:val="bottom"/>
            <w:tcBorders>
              <w:top w:val="single" w:sz="8" w:color="auto"/>
            </w:tcBorders>
          </w:tcPr>
          <w:p>
            <w:pPr>
              <w:ind w:left="20"/>
              <w:spacing w:after="0" w:line="220" w:lineRule="exact"/>
              <w:rPr>
                <w:sz w:val="20"/>
                <w:szCs w:val="20"/>
                <w:color w:val="auto"/>
              </w:rPr>
            </w:pPr>
            <w:r>
              <w:rPr>
                <w:rFonts w:ascii="Times New Roman" w:cs="Times New Roman" w:eastAsia="Times New Roman" w:hAnsi="Times New Roman"/>
                <w:sz w:val="20"/>
                <w:szCs w:val="20"/>
                <w:color w:val="auto"/>
              </w:rPr>
              <w:t xml:space="preserve">Sole Voting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30"/>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9"/>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Shared Voting Power </w:t>
            </w:r>
            <w:r>
              <w:rPr>
                <w:rFonts w:ascii="Times New Roman" w:cs="Times New Roman" w:eastAsia="Times New Roman" w:hAnsi="Times New Roman"/>
                <w:sz w:val="20"/>
                <w:szCs w:val="20"/>
                <w:b w:val="1"/>
                <w:bCs w:val="1"/>
                <w:color w:val="auto"/>
              </w:rPr>
              <w:t>125,156</w:t>
            </w:r>
          </w:p>
        </w:tc>
        <w:tc>
          <w:tcPr>
            <w:tcW w:w="0" w:type="dxa"/>
            <w:vAlign w:val="bottom"/>
          </w:tcPr>
          <w:p>
            <w:pPr>
              <w:spacing w:after="0"/>
              <w:rPr>
                <w:sz w:val="1"/>
                <w:szCs w:val="1"/>
                <w:color w:val="auto"/>
              </w:rPr>
            </w:pPr>
          </w:p>
        </w:tc>
      </w:tr>
      <w:tr>
        <w:trPr>
          <w:trHeight w:val="146"/>
        </w:trPr>
        <w:tc>
          <w:tcPr>
            <w:tcW w:w="216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Owned by</w:t>
            </w:r>
          </w:p>
        </w:tc>
        <w:tc>
          <w:tcPr>
            <w:tcW w:w="260" w:type="dxa"/>
            <w:vAlign w:val="bottom"/>
            <w:tcBorders>
              <w:bottom w:val="single" w:sz="8" w:color="auto"/>
            </w:tcBorders>
            <w:vMerge w:val="continue"/>
          </w:tcPr>
          <w:p>
            <w:pPr>
              <w:spacing w:after="0"/>
              <w:rPr>
                <w:sz w:val="12"/>
                <w:szCs w:val="12"/>
                <w:color w:val="auto"/>
              </w:rPr>
            </w:pPr>
          </w:p>
        </w:tc>
        <w:tc>
          <w:tcPr>
            <w:tcW w:w="88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9"/>
        </w:trPr>
        <w:tc>
          <w:tcPr>
            <w:tcW w:w="2160" w:type="dxa"/>
            <w:vAlign w:val="bottom"/>
            <w:vMerge w:val="continue"/>
          </w:tcPr>
          <w:p>
            <w:pPr>
              <w:spacing w:after="0"/>
              <w:rPr>
                <w:sz w:val="5"/>
                <w:szCs w:val="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882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auto"/>
              </w:rPr>
              <w:t xml:space="preserve">Sole Dispositive Power </w:t>
            </w:r>
            <w:r>
              <w:rPr>
                <w:rFonts w:ascii="Times New Roman" w:cs="Times New Roman" w:eastAsia="Times New Roman" w:hAnsi="Times New Roman"/>
                <w:sz w:val="20"/>
                <w:szCs w:val="20"/>
                <w:b w:val="1"/>
                <w:bCs w:val="1"/>
                <w:color w:val="auto"/>
              </w:rPr>
              <w:t>-0-</w:t>
            </w:r>
          </w:p>
        </w:tc>
        <w:tc>
          <w:tcPr>
            <w:tcW w:w="0" w:type="dxa"/>
            <w:vAlign w:val="bottom"/>
          </w:tcPr>
          <w:p>
            <w:pPr>
              <w:spacing w:after="0"/>
              <w:rPr>
                <w:sz w:val="1"/>
                <w:szCs w:val="1"/>
                <w:color w:val="auto"/>
              </w:rPr>
            </w:pPr>
          </w:p>
        </w:tc>
      </w:tr>
      <w:tr>
        <w:trPr>
          <w:trHeight w:val="203"/>
        </w:trPr>
        <w:tc>
          <w:tcPr>
            <w:tcW w:w="2160" w:type="dxa"/>
            <w:vAlign w:val="bottom"/>
          </w:tcPr>
          <w:p>
            <w:pPr>
              <w:ind w:left="100"/>
              <w:spacing w:after="0" w:line="179" w:lineRule="exact"/>
              <w:rPr>
                <w:sz w:val="20"/>
                <w:szCs w:val="20"/>
                <w:color w:val="auto"/>
              </w:rPr>
            </w:pPr>
            <w:r>
              <w:rPr>
                <w:rFonts w:ascii="Times New Roman" w:cs="Times New Roman" w:eastAsia="Times New Roman" w:hAnsi="Times New Roman"/>
                <w:sz w:val="20"/>
                <w:szCs w:val="20"/>
                <w:color w:val="auto"/>
              </w:rPr>
              <w:t>Each Reporting</w:t>
            </w:r>
          </w:p>
        </w:tc>
        <w:tc>
          <w:tcPr>
            <w:tcW w:w="260" w:type="dxa"/>
            <w:vAlign w:val="bottom"/>
            <w:tcBorders>
              <w:bottom w:val="single" w:sz="8" w:color="auto"/>
            </w:tcBorders>
            <w:vMerge w:val="continue"/>
          </w:tcPr>
          <w:p>
            <w:pPr>
              <w:spacing w:after="0"/>
              <w:rPr>
                <w:sz w:val="17"/>
                <w:szCs w:val="17"/>
                <w:color w:val="auto"/>
              </w:rPr>
            </w:pPr>
          </w:p>
        </w:tc>
        <w:tc>
          <w:tcPr>
            <w:tcW w:w="88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 xml:space="preserve">Shared Dispositive Power </w:t>
            </w:r>
            <w:r>
              <w:rPr>
                <w:rFonts w:ascii="Times New Roman" w:cs="Times New Roman" w:eastAsia="Times New Roman" w:hAnsi="Times New Roman"/>
                <w:sz w:val="20"/>
                <w:szCs w:val="20"/>
                <w:b w:val="1"/>
                <w:bCs w:val="1"/>
                <w:color w:val="auto"/>
              </w:rPr>
              <w:t>125,156</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Aggregate Amount Beneficially Owned by Each Reporting Person </w:t>
      </w:r>
      <w:r>
        <w:rPr>
          <w:rFonts w:ascii="Times New Roman" w:cs="Times New Roman" w:eastAsia="Times New Roman" w:hAnsi="Times New Roman"/>
          <w:sz w:val="20"/>
          <w:szCs w:val="20"/>
          <w:b w:val="1"/>
          <w:bCs w:val="1"/>
          <w:color w:val="auto"/>
        </w:rPr>
        <w:t>125,156</w:t>
      </w:r>
    </w:p>
    <w:p>
      <w:pPr>
        <w:spacing w:after="0" w:line="233" w:lineRule="exact"/>
        <w:rPr>
          <w:rFonts w:ascii="Times New Roman" w:cs="Times New Roman" w:eastAsia="Times New Roman" w:hAnsi="Times New Roman"/>
          <w:sz w:val="20"/>
          <w:szCs w:val="20"/>
          <w:color w:val="auto"/>
        </w:rPr>
      </w:pPr>
    </w:p>
    <w:p>
      <w:pPr>
        <w:ind w:left="1300" w:right="4100" w:hanging="644"/>
        <w:spacing w:after="0" w:line="269" w:lineRule="auto"/>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Check if the Aggregate Amount in Row (9) Excludes Certain Shares (See Instructions) </w:t>
      </w:r>
      <w:r>
        <w:rPr>
          <w:rFonts w:ascii="Times New Roman" w:cs="Times New Roman" w:eastAsia="Times New Roman" w:hAnsi="Times New Roman"/>
          <w:sz w:val="20"/>
          <w:szCs w:val="20"/>
          <w:b w:val="1"/>
          <w:bCs w:val="1"/>
          <w:color w:val="auto"/>
        </w:rPr>
        <w:t>______</w:t>
      </w:r>
    </w:p>
    <w:p>
      <w:pPr>
        <w:spacing w:after="0" w:line="168"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Percent of Class Represented by Amount in Row (9) </w:t>
      </w:r>
      <w:r>
        <w:rPr>
          <w:rFonts w:ascii="Times New Roman" w:cs="Times New Roman" w:eastAsia="Times New Roman" w:hAnsi="Times New Roman"/>
          <w:sz w:val="20"/>
          <w:szCs w:val="20"/>
          <w:b w:val="1"/>
          <w:bCs w:val="1"/>
          <w:color w:val="auto"/>
        </w:rPr>
        <w:t>0.1%</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Type of Reporting Person (See Instructions) </w:t>
      </w:r>
      <w:r>
        <w:rPr>
          <w:rFonts w:ascii="Times New Roman" w:cs="Times New Roman" w:eastAsia="Times New Roman" w:hAnsi="Times New Roman"/>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22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76155X100</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1.</w:t>
      </w:r>
    </w:p>
    <w:p>
      <w:pPr>
        <w:spacing w:after="0" w:line="220"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Name of Issuer</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Revolution Medicines, Inc.</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Address of Issuer’s Principal Executive Offices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b w:val="1"/>
          <w:bCs w:val="1"/>
          <w:color w:val="auto"/>
        </w:rPr>
        <w:t>700 Saginaw Drive, Redwood City, CA 94063</w:t>
      </w:r>
    </w:p>
    <w:p>
      <w:pPr>
        <w:spacing w:after="0" w:line="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________________________________________________________________________</w:t>
      </w: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w:t>
      </w:r>
      <w:r>
        <w:rPr>
          <w:sz w:val="20"/>
          <w:szCs w:val="20"/>
          <w:color w:val="auto"/>
        </w:rPr>
        <w:tab/>
      </w:r>
      <w:r>
        <w:rPr>
          <w:rFonts w:ascii="Times New Roman" w:cs="Times New Roman" w:eastAsia="Times New Roman" w:hAnsi="Times New Roman"/>
          <w:sz w:val="20"/>
          <w:szCs w:val="20"/>
          <w:b w:val="1"/>
          <w:bCs w:val="1"/>
          <w:color w:val="auto"/>
        </w:rPr>
        <w:t>2.</w:t>
      </w:r>
    </w:p>
    <w:p>
      <w:pPr>
        <w:spacing w:after="0" w:line="194" w:lineRule="exact"/>
        <w:rPr>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of the persons filing this statement are:</w:t>
      </w:r>
    </w:p>
    <w:p>
      <w:pPr>
        <w:spacing w:after="0" w:line="225" w:lineRule="exact"/>
        <w:rPr>
          <w:rFonts w:ascii="Times New Roman" w:cs="Times New Roman" w:eastAsia="Times New Roman" w:hAnsi="Times New Roman"/>
          <w:sz w:val="20"/>
          <w:szCs w:val="20"/>
          <w:color w:val="auto"/>
        </w:rPr>
      </w:pPr>
    </w:p>
    <w:p>
      <w:pPr>
        <w:ind w:left="1300" w:right="52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EcoR1 Capital Fund Qualified, L.P. (“Qualified Fund”); EcoR1 Capital, LLC (“EcoR1”) and Oleg Nodelman (“Nodelman”) (collectively, the “Filers”).</w:t>
      </w:r>
    </w:p>
    <w:p>
      <w:pPr>
        <w:spacing w:after="0" w:line="165" w:lineRule="exact"/>
        <w:rPr>
          <w:rFonts w:ascii="Times New Roman" w:cs="Times New Roman" w:eastAsia="Times New Roman" w:hAnsi="Times New Roman"/>
          <w:sz w:val="20"/>
          <w:szCs w:val="20"/>
          <w:color w:val="auto"/>
        </w:rPr>
      </w:pPr>
    </w:p>
    <w:p>
      <w:pPr>
        <w:ind w:left="130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9" w:lineRule="exact"/>
        <w:rPr>
          <w:rFonts w:ascii="Times New Roman" w:cs="Times New Roman" w:eastAsia="Times New Roman" w:hAnsi="Times New Roman"/>
          <w:sz w:val="20"/>
          <w:szCs w:val="20"/>
          <w:color w:val="auto"/>
        </w:rPr>
      </w:pPr>
    </w:p>
    <w:p>
      <w:pPr>
        <w:ind w:left="1300" w:right="180"/>
        <w:spacing w:after="0" w:line="27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Filer also disclaims beneficial ownership of the Stock except to the extent of that person’s pecuniary interest therein.</w:t>
      </w:r>
    </w:p>
    <w:p>
      <w:pPr>
        <w:spacing w:after="0" w:line="16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business office of the Filers is located at:</w:t>
      </w:r>
    </w:p>
    <w:p>
      <w:pPr>
        <w:spacing w:after="0" w:line="225" w:lineRule="exact"/>
        <w:rPr>
          <w:rFonts w:ascii="Times New Roman" w:cs="Times New Roman" w:eastAsia="Times New Roman" w:hAnsi="Times New Roman"/>
          <w:sz w:val="20"/>
          <w:szCs w:val="20"/>
          <w:color w:val="auto"/>
        </w:rPr>
      </w:pPr>
    </w:p>
    <w:p>
      <w:pPr>
        <w:ind w:left="130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357 Tehama Street #3, San Francisco, CA 94103</w:t>
      </w:r>
    </w:p>
    <w:p>
      <w:pPr>
        <w:spacing w:after="0" w:line="233"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citizenship of Filers, see Item 4 of the cover sheet for each Filer.</w:t>
      </w:r>
    </w:p>
    <w:p>
      <w:pPr>
        <w:spacing w:after="0" w:line="22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This statement relates to the Issuer’s shares of </w:t>
      </w:r>
      <w:r>
        <w:rPr>
          <w:rFonts w:ascii="Times New Roman" w:cs="Times New Roman" w:eastAsia="Times New Roman" w:hAnsi="Times New Roman"/>
          <w:sz w:val="20"/>
          <w:szCs w:val="20"/>
          <w:b w:val="1"/>
          <w:bCs w:val="1"/>
          <w:color w:val="auto"/>
        </w:rPr>
        <w:t>Common Stock, par value $0.0001 per share</w:t>
      </w:r>
      <w:r>
        <w:rPr>
          <w:rFonts w:ascii="Times New Roman" w:cs="Times New Roman" w:eastAsia="Times New Roman" w:hAnsi="Times New Roman"/>
          <w:sz w:val="20"/>
          <w:szCs w:val="20"/>
          <w:color w:val="auto"/>
        </w:rPr>
        <w:t xml:space="preserve"> (the “Stock”).</w:t>
      </w:r>
    </w:p>
    <w:p>
      <w:pPr>
        <w:spacing w:after="0" w:line="229"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CUSIP number of the Issuer is: </w:t>
      </w:r>
      <w:r>
        <w:rPr>
          <w:rFonts w:ascii="Times New Roman" w:cs="Times New Roman" w:eastAsia="Times New Roman" w:hAnsi="Times New Roman"/>
          <w:sz w:val="20"/>
          <w:szCs w:val="20"/>
          <w:b w:val="1"/>
          <w:bCs w:val="1"/>
          <w:color w:val="auto"/>
        </w:rPr>
        <w:t>76155X100</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40"/>
          </w:cols>
          <w:pgMar w:left="320" w:top="229"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CUSIP No. 76155X100</w:t>
      </w:r>
    </w:p>
    <w:p>
      <w:pPr>
        <w:spacing w:after="0" w:line="23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If this statement is filed pursuant to rule 240.13d-1(b) or 240.13d-2(b) or (c), check whether the person filing is a:</w:t>
      </w:r>
    </w:p>
    <w:p>
      <w:pPr>
        <w:spacing w:after="0" w:line="220" w:lineRule="exact"/>
        <w:rPr>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Investment company registered under section 8 of the Investment Company Act of 1940 (15 U.S.C. 80a-8).</w:t>
      </w:r>
    </w:p>
    <w:p>
      <w:pPr>
        <w:spacing w:after="0" w:line="215"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An investment adviser in accordance with section 240.13d-1(b)(1)(ii)(E) as to EcoR1.</w:t>
      </w:r>
    </w:p>
    <w:p>
      <w:pPr>
        <w:spacing w:after="0" w:line="215"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An employee benefit plan or endowment fund in accordance with section 240.13d-1(b)(1)(ii)(F).</w:t>
      </w:r>
    </w:p>
    <w:p>
      <w:pPr>
        <w:spacing w:after="0" w:line="215" w:lineRule="exact"/>
        <w:rPr>
          <w:rFonts w:ascii="Times New Roman" w:cs="Times New Roman" w:eastAsia="Times New Roman" w:hAnsi="Times New Roman"/>
          <w:sz w:val="20"/>
          <w:szCs w:val="20"/>
          <w:color w:val="auto"/>
        </w:rPr>
      </w:pPr>
    </w:p>
    <w:p>
      <w:pPr>
        <w:ind w:left="1300" w:right="2420" w:hanging="644"/>
        <w:spacing w:after="0" w:line="269" w:lineRule="auto"/>
        <w:tabs>
          <w:tab w:leader="none" w:pos="130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 ] A parent holding company or control person in accordance with 240.13d-1(b)(1)(ii)(G) as to Mr. Nodelman.</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savings association as defined in section 3(b) of the Federal Deposit Insurance Act (12 U.S.C. 1813).</w:t>
      </w:r>
    </w:p>
    <w:p>
      <w:pPr>
        <w:spacing w:after="0" w:line="215" w:lineRule="exact"/>
        <w:rPr>
          <w:rFonts w:ascii="Times New Roman" w:cs="Times New Roman" w:eastAsia="Times New Roman" w:hAnsi="Times New Roman"/>
          <w:sz w:val="20"/>
          <w:szCs w:val="20"/>
          <w:color w:val="auto"/>
        </w:rPr>
      </w:pPr>
    </w:p>
    <w:p>
      <w:pPr>
        <w:ind w:left="1960" w:right="440" w:hanging="1304"/>
        <w:spacing w:after="0" w:line="269" w:lineRule="auto"/>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A church plan that is excluded from the definition of an investment company under section 3(c)(14) of the Investment Company Act of 1940 (15 U.S.C. 80a-3).</w:t>
      </w:r>
    </w:p>
    <w:p>
      <w:pPr>
        <w:spacing w:after="0" w:line="159" w:lineRule="exact"/>
        <w:rPr>
          <w:rFonts w:ascii="Times New Roman" w:cs="Times New Roman" w:eastAsia="Times New Roman" w:hAnsi="Times New Roman"/>
          <w:sz w:val="20"/>
          <w:szCs w:val="20"/>
          <w:color w:val="auto"/>
        </w:rPr>
      </w:pPr>
    </w:p>
    <w:p>
      <w:pPr>
        <w:ind w:left="1960" w:hanging="1304"/>
        <w:spacing w:after="0"/>
        <w:tabs>
          <w:tab w:leader="none" w:pos="196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 Group, in accordance with section 240.13d-1(b)(1)(ii)(J).</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See Items 5-9 and 11 of the cover page for each Filer.</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20"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 xml:space="preserve">If this statement is being filed to report the fact that as of the date hereof the reporting person has ceased to be the beneficial owner of more than five percent of the class of securities, check the following [ </w:t>
      </w:r>
      <w:r>
        <w:rPr>
          <w:rFonts w:ascii="Times New Roman" w:cs="Times New Roman" w:eastAsia="Times New Roman" w:hAnsi="Times New Roman"/>
          <w:sz w:val="20"/>
          <w:szCs w:val="20"/>
          <w:b w:val="1"/>
          <w:bCs w:val="1"/>
          <w:color w:val="auto"/>
        </w:rPr>
        <w:t>X</w:t>
      </w:r>
      <w:r>
        <w:rPr>
          <w:rFonts w:ascii="Times New Roman" w:cs="Times New Roman" w:eastAsia="Times New Roman" w:hAnsi="Times New Roman"/>
          <w:sz w:val="20"/>
          <w:szCs w:val="20"/>
          <w:color w:val="auto"/>
        </w:rPr>
        <w:t xml:space="preserve"> ].</w:t>
      </w:r>
    </w:p>
    <w:p>
      <w:pPr>
        <w:spacing w:after="0" w:line="15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ind w:left="1300" w:right="180" w:hanging="1295"/>
        <w:spacing w:after="0" w:line="273" w:lineRule="auto"/>
        <w:tabs>
          <w:tab w:leader="none" w:pos="12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2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EcoR1 is the general partner and investment adviser of investment funds, including Qualified Fund. Mr. Nodelman is the control person of EcoR1.</w:t>
      </w:r>
    </w:p>
    <w:p>
      <w:pPr>
        <w:spacing w:after="0" w:line="16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1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EcoR1 and Mr. Nodelman:</w:t>
      </w:r>
    </w:p>
    <w:p>
      <w:pPr>
        <w:spacing w:after="0" w:line="233" w:lineRule="exact"/>
        <w:rPr>
          <w:sz w:val="20"/>
          <w:szCs w:val="20"/>
          <w:color w:val="auto"/>
        </w:rPr>
      </w:pPr>
    </w:p>
    <w:p>
      <w:pPr>
        <w:ind w:left="660" w:right="460"/>
        <w:spacing w:after="0" w:line="246"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Certification of Qualified Fund:</w:t>
      </w:r>
    </w:p>
    <w:p>
      <w:pPr>
        <w:spacing w:after="0" w:line="233" w:lineRule="exact"/>
        <w:rPr>
          <w:sz w:val="20"/>
          <w:szCs w:val="20"/>
          <w:color w:val="auto"/>
        </w:rPr>
      </w:pPr>
    </w:p>
    <w:p>
      <w:pPr>
        <w:ind w:left="660" w:right="540"/>
        <w:spacing w:after="0" w:line="249" w:lineRule="auto"/>
        <w:rPr>
          <w:sz w:val="20"/>
          <w:szCs w:val="20"/>
          <w:color w:val="auto"/>
        </w:rPr>
      </w:pPr>
      <w:r>
        <w:rPr>
          <w:rFonts w:ascii="Times New Roman" w:cs="Times New Roman" w:eastAsia="Times New Roman" w:hAnsi="Times New Roman"/>
          <w:sz w:val="20"/>
          <w:szCs w:val="20"/>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1040"/>
          </w:cols>
          <w:pgMar w:left="320" w:top="229" w:right="539" w:bottom="0" w:gutter="0" w:footer="0" w:header="0"/>
        </w:sectPr>
      </w:pPr>
    </w:p>
    <w:p>
      <w:pPr>
        <w:spacing w:after="0" w:line="18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40"/>
          </w:cols>
          <w:pgMar w:left="320" w:top="229" w:right="53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CUSIP No. 76155X100</w:t>
      </w:r>
    </w:p>
    <w:p>
      <w:pPr>
        <w:spacing w:after="0" w:line="2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SIGNATURE</w:t>
      </w:r>
    </w:p>
    <w:p>
      <w:pPr>
        <w:spacing w:after="0" w:line="22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my knowledge and belief, I certify that the information set forth in this statement is true, complete and correct.</w:t>
      </w:r>
    </w:p>
    <w:p>
      <w:pPr>
        <w:spacing w:after="0" w:line="159" w:lineRule="exact"/>
        <w:rPr>
          <w:sz w:val="20"/>
          <w:szCs w:val="20"/>
          <w:color w:val="auto"/>
        </w:rPr>
      </w:pPr>
    </w:p>
    <w:p>
      <w:pPr>
        <w:jc w:val="right"/>
        <w:ind w:right="9140"/>
        <w:spacing w:after="0"/>
        <w:rPr>
          <w:sz w:val="20"/>
          <w:szCs w:val="20"/>
          <w:color w:val="auto"/>
        </w:rPr>
      </w:pPr>
      <w:r>
        <w:rPr>
          <w:rFonts w:ascii="Times New Roman" w:cs="Times New Roman" w:eastAsia="Times New Roman" w:hAnsi="Times New Roman"/>
          <w:sz w:val="19"/>
          <w:szCs w:val="19"/>
          <w:color w:val="auto"/>
        </w:rPr>
        <w:t>Dated: February 14, 2024</w:t>
      </w:r>
    </w:p>
    <w:p>
      <w:pPr>
        <w:spacing w:after="0" w:line="156" w:lineRule="exact"/>
        <w:rPr>
          <w:sz w:val="20"/>
          <w:szCs w:val="20"/>
          <w:color w:val="auto"/>
        </w:rPr>
      </w:pPr>
    </w:p>
    <w:p>
      <w:pPr>
        <w:jc w:val="right"/>
        <w:ind w:right="908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Oleg Nodelman</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vMerge w:val="restart"/>
          </w:tcPr>
          <w:p>
            <w:pPr>
              <w:spacing w:after="0" w:line="20" w:lineRule="exact"/>
              <w:rPr>
                <w:sz w:val="1"/>
                <w:szCs w:val="1"/>
                <w:color w:val="auto"/>
              </w:rPr>
            </w:pPr>
          </w:p>
        </w:tc>
        <w:tc>
          <w:tcPr>
            <w:tcW w:w="1540" w:type="dxa"/>
            <w:vAlign w:val="bottom"/>
            <w:tcBorders>
              <w:top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Oleg Nodelman</w:t>
            </w:r>
          </w:p>
        </w:tc>
        <w:tc>
          <w:tcPr>
            <w:tcW w:w="0" w:type="dxa"/>
            <w:vAlign w:val="bottom"/>
          </w:tcPr>
          <w:p>
            <w:pPr>
              <w:spacing w:after="0" w:line="20" w:lineRule="exact"/>
              <w:rPr>
                <w:sz w:val="1"/>
                <w:szCs w:val="1"/>
                <w:color w:val="auto"/>
              </w:rPr>
            </w:pPr>
          </w:p>
        </w:tc>
      </w:tr>
      <w:tr>
        <w:trPr>
          <w:trHeight w:val="236"/>
        </w:trPr>
        <w:tc>
          <w:tcPr>
            <w:tcW w:w="340" w:type="dxa"/>
            <w:vAlign w:val="bottom"/>
          </w:tcPr>
          <w:p>
            <w:pPr>
              <w:spacing w:after="0"/>
              <w:rPr>
                <w:sz w:val="20"/>
                <w:szCs w:val="20"/>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Oleg Nodelman, Manager</w:t>
            </w:r>
          </w:p>
        </w:tc>
        <w:tc>
          <w:tcPr>
            <w:tcW w:w="1340" w:type="dxa"/>
            <w:vAlign w:val="bottom"/>
            <w:vMerge w:val="continue"/>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80"/>
          </w:cols>
          <w:pgMar w:left="320" w:top="229"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CUSIP No. 76155X100</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EXHIBIT A</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AGREEMENT REGARDING JOINT FILING</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OF STATEMENT ON SCHEDULE 13D OR 13G</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2024</w:t>
      </w:r>
    </w:p>
    <w:p>
      <w:pPr>
        <w:spacing w:after="0" w:line="21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LLC</w:t>
      </w:r>
    </w:p>
    <w:p>
      <w:pPr>
        <w:spacing w:after="0" w:line="200" w:lineRule="exact"/>
        <w:rPr>
          <w:sz w:val="20"/>
          <w:szCs w:val="20"/>
          <w:color w:val="auto"/>
        </w:rPr>
      </w:pP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0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 xml:space="preserve">By: /s/ </w:t>
            </w:r>
            <w:r>
              <w:rPr>
                <w:rFonts w:ascii="Times New Roman" w:cs="Times New Roman" w:eastAsia="Times New Roman" w:hAnsi="Times New Roman"/>
                <w:sz w:val="20"/>
                <w:szCs w:val="20"/>
                <w:i w:val="1"/>
                <w:iCs w:val="1"/>
                <w:color w:val="auto"/>
              </w:rPr>
              <w:t>Oleg Nodelman</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 xml:space="preserve">/s/ </w:t>
            </w:r>
            <w:r>
              <w:rPr>
                <w:rFonts w:ascii="Times New Roman" w:cs="Times New Roman" w:eastAsia="Times New Roman" w:hAnsi="Times New Roman"/>
                <w:sz w:val="20"/>
                <w:szCs w:val="20"/>
                <w:i w:val="1"/>
                <w:iCs w:val="1"/>
                <w:color w:val="auto"/>
              </w:rPr>
              <w:t>Oleg Nodelman</w:t>
            </w:r>
          </w:p>
        </w:tc>
      </w:tr>
      <w:tr>
        <w:trPr>
          <w:trHeight w:val="20"/>
        </w:trPr>
        <w:tc>
          <w:tcPr>
            <w:tcW w:w="34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r>
      <w:tr>
        <w:trPr>
          <w:trHeight w:val="256"/>
        </w:trPr>
        <w:tc>
          <w:tcPr>
            <w:tcW w:w="340" w:type="dxa"/>
            <w:vAlign w:val="bottom"/>
          </w:tcPr>
          <w:p>
            <w:pPr>
              <w:spacing w:after="0"/>
              <w:rPr>
                <w:sz w:val="22"/>
                <w:szCs w:val="22"/>
                <w:color w:val="auto"/>
              </w:rPr>
            </w:pPr>
          </w:p>
        </w:tc>
        <w:tc>
          <w:tcPr>
            <w:tcW w:w="372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Oleg Nodelman, Manager</w:t>
            </w:r>
          </w:p>
        </w:tc>
        <w:tc>
          <w:tcPr>
            <w:tcW w:w="2880" w:type="dxa"/>
            <w:vAlign w:val="bottom"/>
            <w:gridSpan w:val="2"/>
          </w:tcPr>
          <w:p>
            <w:pPr>
              <w:ind w:left="1340"/>
              <w:spacing w:after="0"/>
              <w:rPr>
                <w:sz w:val="20"/>
                <w:szCs w:val="20"/>
                <w:color w:val="auto"/>
              </w:rPr>
            </w:pPr>
            <w:r>
              <w:rPr>
                <w:rFonts w:ascii="Times New Roman" w:cs="Times New Roman" w:eastAsia="Times New Roman" w:hAnsi="Times New Roman"/>
                <w:sz w:val="20"/>
                <w:szCs w:val="20"/>
                <w:color w:val="auto"/>
              </w:rPr>
              <w:t>Oleg Nodelman</w:t>
            </w:r>
          </w:p>
        </w:tc>
      </w:tr>
    </w:tbl>
    <w:p>
      <w:pPr>
        <w:spacing w:after="0" w:line="200" w:lineRule="exact"/>
        <w:rPr>
          <w:sz w:val="20"/>
          <w:szCs w:val="20"/>
          <w:color w:val="auto"/>
        </w:rPr>
      </w:pPr>
    </w:p>
    <w:p>
      <w:pPr>
        <w:spacing w:after="0" w:line="2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EcoR1 CAPITAL FUND QUALIFIED, L.P.</w:t>
      </w:r>
    </w:p>
    <w:p>
      <w:pPr>
        <w:spacing w:after="0" w:line="2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By: EcoR1 Capital, LLC, General Partner</w:t>
      </w:r>
    </w:p>
    <w:p>
      <w:pPr>
        <w:spacing w:after="0" w:line="200" w:lineRule="exact"/>
        <w:rPr>
          <w:sz w:val="20"/>
          <w:szCs w:val="20"/>
          <w:color w:val="auto"/>
        </w:rPr>
      </w:pPr>
    </w:p>
    <w:p>
      <w:pPr>
        <w:spacing w:after="0" w:line="25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u w:val="single" w:color="auto"/>
          <w:color w:val="auto"/>
        </w:rPr>
        <w:t>Oleg Nodelman</w:t>
      </w:r>
    </w:p>
    <w:p>
      <w:pPr>
        <w:spacing w:after="0" w:line="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Oleg Nodelman, Manager</w:t>
      </w:r>
    </w:p>
    <w:sectPr>
      <w:pgSz w:w="11900" w:h="16838" w:orient="portrait"/>
      <w:cols w:equalWidth="0" w:num="1">
        <w:col w:w="11240"/>
      </w:cols>
      <w:pgMar w:left="320" w:top="22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2024-02-14T18:57:18Z</dcterms:created>
  <dcterms:modified xsi:type="dcterms:W3CDTF">2024-02-14T18:57:18Z</dcterms:modified>
</cp:coreProperties>
</file>