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lineRule="auto" w:line="273" w:before="0" w:after="0"/>
        <w:jc w:val="left"/>
        <w:rPr/>
      </w:pPr>
      <w:bookmarkStart w:id="0" w:name="rvmd-20211231.htm"/>
      <w:bookmarkStart w:id="1" w:name="ksrvmd20211231"/>
      <w:bookmarkEnd w:id="0"/>
      <w:bookmarkEnd w:id="1"/>
      <w:r>
        <w:rPr/>
        <w:t> </w:t>
      </w:r>
    </w:p>
    <w:p>
      <w:pPr>
        <w:pStyle w:val="TextBody"/>
        <w:spacing w:lineRule="auto" w:line="273" w:before="0" w:after="0"/>
        <w:jc w:val="center"/>
        <w:rPr>
          <w:rFonts w:ascii="Times New Roman" w:hAnsi="Times New Roman"/>
          <w:b/>
          <w:sz w:val="32"/>
        </w:rPr>
      </w:pPr>
      <w:r>
        <w:rPr>
          <w:rFonts w:ascii="Times New Roman" w:hAnsi="Times New Roman"/>
          <w:b/>
          <w:sz w:val="32"/>
        </w:rPr>
        <w:t>UNITED STATES</w:t>
      </w:r>
    </w:p>
    <w:p>
      <w:pPr>
        <w:pStyle w:val="TextBody"/>
        <w:spacing w:lineRule="auto" w:line="273" w:before="0" w:after="0"/>
        <w:jc w:val="center"/>
        <w:rPr>
          <w:rFonts w:ascii="Times New Roman" w:hAnsi="Times New Roman"/>
          <w:sz w:val="20"/>
        </w:rPr>
      </w:pPr>
      <w:r>
        <w:rPr>
          <w:rFonts w:ascii="Times New Roman" w:hAnsi="Times New Roman"/>
          <w:b/>
          <w:sz w:val="32"/>
        </w:rPr>
        <w:t>SECURITIES AND EXCHANGE COMMISSION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Washington, D.C. 20549</w:t>
      </w:r>
      <w:r>
        <w:rPr>
          <w:rFonts w:ascii="Times New Roman" w:hAnsi="Times New Roman"/>
          <w:sz w:val="20"/>
        </w:rPr>
        <w:t xml:space="preserve"> </w:t>
      </w:r>
    </w:p>
    <w:p>
      <w:pPr>
        <w:pStyle w:val="TextBody"/>
        <w:pBdr>
          <w:bottom w:val="single" w:sz="8" w:space="1" w:color="000000"/>
        </w:pBdr>
        <w:spacing w:lineRule="auto" w:line="273" w:before="0" w:after="0"/>
        <w:jc w:val="center"/>
        <w:rPr/>
      </w:pPr>
      <w:r>
        <w:rPr/>
        <w:t> </w:t>
      </w:r>
    </w:p>
    <w:p>
      <w:pPr>
        <w:pStyle w:val="TextBody"/>
        <w:spacing w:lineRule="auto" w:line="273" w:before="40" w:after="0"/>
        <w:jc w:val="center"/>
        <w:rPr>
          <w:rFonts w:ascii="Times New Roman" w:hAnsi="Times New Roman"/>
          <w:sz w:val="20"/>
        </w:rPr>
      </w:pPr>
      <w:r>
        <w:rPr>
          <w:rFonts w:ascii="Times New Roman" w:hAnsi="Times New Roman"/>
          <w:b/>
          <w:sz w:val="36"/>
        </w:rPr>
        <w:t>FORM 10-K</w:t>
      </w:r>
      <w:r>
        <w:rPr>
          <w:rFonts w:ascii="Times New Roman" w:hAnsi="Times New Roman"/>
          <w:sz w:val="20"/>
        </w:rPr>
        <w:t xml:space="preserve"> </w:t>
      </w:r>
    </w:p>
    <w:p>
      <w:pPr>
        <w:pStyle w:val="TextBody"/>
        <w:pBdr>
          <w:bottom w:val="single" w:sz="8" w:space="1" w:color="000000"/>
        </w:pBdr>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sz w:val="16"/>
        </w:rPr>
        <w:t>(Mark One)</w:t>
      </w:r>
      <w:r>
        <w:rPr>
          <w:rFonts w:ascii="Times New Roman" w:hAnsi="Times New Roman"/>
          <w:sz w:val="20"/>
        </w:rPr>
        <w:t xml:space="preserve"> </w:t>
      </w:r>
    </w:p>
    <w:tbl>
      <w:tblPr>
        <w:tblW w:w="9962" w:type="dxa"/>
        <w:jc w:val="left"/>
        <w:tblInd w:w="0" w:type="dxa"/>
        <w:tblCellMar>
          <w:top w:w="28" w:type="dxa"/>
          <w:left w:w="28" w:type="dxa"/>
          <w:bottom w:w="28" w:type="dxa"/>
          <w:right w:w="28" w:type="dxa"/>
        </w:tblCellMar>
      </w:tblPr>
      <w:tblGrid>
        <w:gridCol w:w="331"/>
        <w:gridCol w:w="9631"/>
      </w:tblGrid>
      <w:tr>
        <w:trPr/>
        <w:tc>
          <w:tcPr>
            <w:tcW w:w="331" w:type="dxa"/>
            <w:tcBorders/>
            <w:shd w:fill="auto" w:val="clear"/>
            <w:vAlign w:val="center"/>
          </w:tcPr>
          <w:p>
            <w:pPr>
              <w:pStyle w:val="TableContents"/>
              <w:spacing w:before="0" w:after="283"/>
              <w:rPr>
                <w:sz w:val="4"/>
                <w:szCs w:val="4"/>
              </w:rPr>
            </w:pPr>
            <w:r>
              <w:rPr>
                <w:sz w:val="4"/>
                <w:szCs w:val="4"/>
              </w:rPr>
            </w:r>
          </w:p>
        </w:tc>
        <w:tc>
          <w:tcPr>
            <w:tcW w:w="963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lineRule="auto" w:line="252" w:before="0" w:after="0"/>
              <w:ind w:left="0" w:right="0" w:hanging="0"/>
              <w:jc w:val="left"/>
              <w:rPr/>
            </w:pPr>
            <w:r>
              <w:rPr/>
              <w:t>☒</w:t>
            </w:r>
          </w:p>
        </w:tc>
        <w:tc>
          <w:tcPr>
            <w:tcW w:w="963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sz w:val="20"/>
              </w:rPr>
              <w:t>ANNUAL REPORT PURSUANT TO SECTION 13 OR 15(d) OF THE SECURITIES EXCHANGE ACT OF 1934</w:t>
            </w:r>
            <w:r>
              <w:rPr>
                <w:rFonts w:ascii="Times New Roman" w:hAnsi="Times New Roman"/>
                <w:sz w:val="20"/>
              </w:rPr>
              <w:t xml:space="preserve"> </w:t>
            </w:r>
          </w:p>
        </w:tc>
      </w:tr>
    </w:tbl>
    <w:p>
      <w:pPr>
        <w:pStyle w:val="TextBody"/>
        <w:spacing w:lineRule="auto" w:line="273" w:before="40" w:after="0"/>
        <w:jc w:val="center"/>
        <w:rPr>
          <w:rFonts w:ascii="Times New Roman" w:hAnsi="Times New Roman"/>
          <w:b/>
          <w:sz w:val="20"/>
        </w:rPr>
      </w:pPr>
      <w:r>
        <w:rPr>
          <w:rFonts w:ascii="Times New Roman" w:hAnsi="Times New Roman"/>
          <w:b/>
          <w:sz w:val="20"/>
        </w:rPr>
        <w:t>For the fiscal year ended December 31, 2021</w:t>
      </w:r>
    </w:p>
    <w:p>
      <w:pPr>
        <w:pStyle w:val="TextBody"/>
        <w:spacing w:lineRule="auto" w:line="273" w:before="40" w:after="0"/>
        <w:jc w:val="center"/>
        <w:rPr>
          <w:rFonts w:ascii="Times New Roman" w:hAnsi="Times New Roman"/>
          <w:sz w:val="20"/>
        </w:rPr>
      </w:pPr>
      <w:r>
        <w:rPr>
          <w:rFonts w:ascii="Times New Roman" w:hAnsi="Times New Roman"/>
          <w:b/>
          <w:sz w:val="20"/>
        </w:rPr>
        <w:t>OR</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lineRule="auto" w:line="252" w:before="60" w:after="0"/>
              <w:ind w:left="0" w:right="0" w:hanging="0"/>
              <w:jc w:val="left"/>
              <w:rPr/>
            </w:pPr>
            <w:r>
              <w:rPr/>
              <w:t>☐</w:t>
            </w:r>
          </w:p>
        </w:tc>
        <w:tc>
          <w:tcPr>
            <w:tcW w:w="9874" w:type="dxa"/>
            <w:tcBorders/>
            <w:shd w:fill="auto" w:val="clear"/>
            <w:vAlign w:val="center"/>
          </w:tcPr>
          <w:p>
            <w:pPr>
              <w:pStyle w:val="TableContents"/>
              <w:spacing w:lineRule="auto" w:line="252" w:before="40" w:after="0"/>
              <w:ind w:left="0" w:right="0" w:hanging="0"/>
              <w:jc w:val="left"/>
              <w:rPr>
                <w:rFonts w:ascii="Times New Roman" w:hAnsi="Times New Roman"/>
                <w:sz w:val="20"/>
              </w:rPr>
            </w:pPr>
            <w:r>
              <w:rPr>
                <w:rFonts w:ascii="Times New Roman" w:hAnsi="Times New Roman"/>
                <w:b/>
                <w:sz w:val="20"/>
              </w:rPr>
              <w:t>TRANSITION REPORT PURSUANT TO SECTION 13 OR 15(d) OF THE SECURITIES EXCHANGE ACT OF 1934 FOR THE TRANSITION PERIOD FROM TO</w:t>
            </w:r>
            <w:r>
              <w:rPr>
                <w:rFonts w:ascii="Times New Roman" w:hAnsi="Times New Roman"/>
                <w:sz w:val="20"/>
              </w:rPr>
              <w:t xml:space="preserve"> </w:t>
            </w:r>
          </w:p>
        </w:tc>
      </w:tr>
    </w:tbl>
    <w:p>
      <w:pPr>
        <w:pStyle w:val="TextBody"/>
        <w:spacing w:lineRule="auto" w:line="273" w:before="40" w:after="0"/>
        <w:jc w:val="center"/>
        <w:rPr>
          <w:rFonts w:ascii="Times New Roman" w:hAnsi="Times New Roman"/>
          <w:sz w:val="20"/>
        </w:rPr>
      </w:pPr>
      <w:r>
        <w:rPr>
          <w:rFonts w:ascii="Times New Roman" w:hAnsi="Times New Roman"/>
          <w:b/>
          <w:sz w:val="20"/>
        </w:rPr>
        <w:t>Commission File Number 001-39219</w:t>
      </w:r>
      <w:r>
        <w:rPr>
          <w:rFonts w:ascii="Times New Roman" w:hAnsi="Times New Roman"/>
          <w:sz w:val="20"/>
        </w:rPr>
        <w:t xml:space="preserve"> </w:t>
      </w:r>
    </w:p>
    <w:p>
      <w:pPr>
        <w:pStyle w:val="TextBody"/>
        <w:pBdr>
          <w:bottom w:val="single" w:sz="8" w:space="1" w:color="000000"/>
        </w:pBdr>
        <w:spacing w:lineRule="auto" w:line="273" w:before="0" w:after="0"/>
        <w:jc w:val="center"/>
        <w:rPr/>
      </w:pPr>
      <w:r>
        <w:rPr/>
        <w:t> </w:t>
      </w:r>
    </w:p>
    <w:p>
      <w:pPr>
        <w:pStyle w:val="TextBody"/>
        <w:spacing w:lineRule="auto" w:line="273" w:before="40" w:after="0"/>
        <w:jc w:val="center"/>
        <w:rPr>
          <w:rFonts w:ascii="Times New Roman" w:hAnsi="Times New Roman"/>
          <w:b/>
          <w:sz w:val="44"/>
        </w:rPr>
      </w:pPr>
      <w:r>
        <w:rPr>
          <w:rFonts w:ascii="Times New Roman" w:hAnsi="Times New Roman"/>
          <w:b/>
          <w:sz w:val="44"/>
        </w:rPr>
        <w:t>Revolution Medicines, Inc.</w:t>
      </w:r>
    </w:p>
    <w:p>
      <w:pPr>
        <w:pStyle w:val="TextBody"/>
        <w:spacing w:lineRule="auto" w:line="273" w:before="0" w:after="0"/>
        <w:jc w:val="center"/>
        <w:rPr>
          <w:rFonts w:ascii="Times New Roman" w:hAnsi="Times New Roman"/>
          <w:sz w:val="20"/>
        </w:rPr>
      </w:pPr>
      <w:r>
        <w:rPr>
          <w:rFonts w:ascii="Times New Roman" w:hAnsi="Times New Roman"/>
          <w:b/>
          <w:sz w:val="20"/>
        </w:rPr>
        <w:t>(Exact name of Registrant as specified in its Charter)</w:t>
      </w:r>
      <w:r>
        <w:rPr>
          <w:rFonts w:ascii="Times New Roman" w:hAnsi="Times New Roman"/>
          <w:sz w:val="20"/>
        </w:rPr>
        <w:t xml:space="preserve"> </w:t>
      </w:r>
    </w:p>
    <w:p>
      <w:pPr>
        <w:pStyle w:val="TextBody"/>
        <w:pBdr>
          <w:bottom w:val="single" w:sz="8" w:space="1" w:color="000000"/>
        </w:pBdr>
        <w:spacing w:lineRule="auto" w:line="273" w:before="0" w:after="0"/>
        <w:jc w:val="center"/>
        <w:rPr/>
      </w:pPr>
      <w:r>
        <w:rPr/>
        <w:t> </w:t>
      </w:r>
    </w:p>
    <w:p>
      <w:pPr>
        <w:pStyle w:val="TextBody"/>
        <w:spacing w:lineRule="auto" w:line="273" w:before="0" w:after="0"/>
        <w:jc w:val="left"/>
        <w:rPr/>
      </w:pPr>
      <w:r>
        <w:rPr/>
        <w:t> </w:t>
      </w:r>
    </w:p>
    <w:tbl>
      <w:tblPr>
        <w:tblW w:w="3823" w:type="dxa"/>
        <w:jc w:val="left"/>
        <w:tblInd w:w="0" w:type="dxa"/>
        <w:tblCellMar>
          <w:top w:w="28" w:type="dxa"/>
          <w:left w:w="28" w:type="dxa"/>
          <w:bottom w:w="28" w:type="dxa"/>
          <w:right w:w="28" w:type="dxa"/>
        </w:tblCellMar>
      </w:tblPr>
      <w:tblGrid>
        <w:gridCol w:w="2431"/>
        <w:gridCol w:w="146"/>
        <w:gridCol w:w="1246"/>
      </w:tblGrid>
      <w:tr>
        <w:trPr/>
        <w:tc>
          <w:tcPr>
            <w:tcW w:w="2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Delaware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47-2029180</w:t>
            </w:r>
          </w:p>
        </w:tc>
      </w:tr>
      <w:tr>
        <w:trPr/>
        <w:tc>
          <w:tcPr>
            <w:tcW w:w="2431"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(State or other jurisdiction of</w:t>
            </w:r>
          </w:p>
          <w:p>
            <w:pPr>
              <w:pStyle w:val="TableContents"/>
              <w:spacing w:lineRule="auto" w:line="252" w:before="0" w:after="15"/>
              <w:ind w:left="0" w:right="0" w:hanging="0"/>
              <w:jc w:val="center"/>
              <w:rPr>
                <w:rFonts w:ascii="Times New Roman" w:hAnsi="Times New Roman"/>
                <w:b/>
                <w:sz w:val="14"/>
              </w:rPr>
            </w:pPr>
            <w:r>
              <w:rPr>
                <w:rFonts w:ascii="Times New Roman" w:hAnsi="Times New Roman"/>
                <w:b/>
                <w:sz w:val="14"/>
              </w:rPr>
              <w:t>incorporation or organization)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(I.R.S. Employer</w:t>
            </w:r>
          </w:p>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Identification No.)</w:t>
            </w:r>
          </w:p>
        </w:tc>
      </w:tr>
      <w:tr>
        <w:trPr/>
        <w:tc>
          <w:tcPr>
            <w:tcW w:w="2431"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700 Saginaw Drive</w:t>
            </w:r>
          </w:p>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Redwood City, CA</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94063</w:t>
            </w:r>
          </w:p>
        </w:tc>
      </w:tr>
      <w:tr>
        <w:trPr/>
        <w:tc>
          <w:tcPr>
            <w:tcW w:w="2431"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273" w:before="40" w:after="0"/>
        <w:jc w:val="center"/>
        <w:rPr>
          <w:rFonts w:ascii="Times New Roman" w:hAnsi="Times New Roman"/>
          <w:b/>
          <w:sz w:val="20"/>
        </w:rPr>
      </w:pPr>
      <w:r>
        <w:rPr>
          <w:rFonts w:ascii="Times New Roman" w:hAnsi="Times New Roman"/>
          <w:b/>
          <w:sz w:val="20"/>
        </w:rPr>
        <w:t>Registrant’s telephone number, including area code: (650) 481-6801</w:t>
      </w:r>
    </w:p>
    <w:p>
      <w:pPr>
        <w:pStyle w:val="TextBody"/>
        <w:pBdr>
          <w:bottom w:val="single" w:sz="8" w:space="1" w:color="000000"/>
        </w:pBdr>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17"/>
        </w:rPr>
        <w:t>Securities registered pursuant to Section 12(b) of the Act:</w:t>
      </w:r>
      <w:r>
        <w:rPr>
          <w:rFonts w:ascii="Times New Roman" w:hAnsi="Times New Roman"/>
          <w:sz w:val="20"/>
        </w:rPr>
        <w:t xml:space="preserve"> </w:t>
      </w:r>
    </w:p>
    <w:p>
      <w:pPr>
        <w:pStyle w:val="TextBody"/>
        <w:spacing w:lineRule="auto" w:line="273" w:before="0" w:after="0"/>
        <w:jc w:val="left"/>
        <w:rPr/>
      </w:pPr>
      <w:r>
        <w:rPr/>
        <w:t> </w:t>
      </w:r>
    </w:p>
    <w:tbl>
      <w:tblPr>
        <w:tblW w:w="7690" w:type="dxa"/>
        <w:jc w:val="left"/>
        <w:tblInd w:w="0" w:type="dxa"/>
        <w:tblCellMar>
          <w:top w:w="28" w:type="dxa"/>
          <w:left w:w="28" w:type="dxa"/>
          <w:bottom w:w="28" w:type="dxa"/>
          <w:right w:w="28" w:type="dxa"/>
        </w:tblCellMar>
      </w:tblPr>
      <w:tblGrid>
        <w:gridCol w:w="3256"/>
        <w:gridCol w:w="146"/>
        <w:gridCol w:w="826"/>
        <w:gridCol w:w="146"/>
        <w:gridCol w:w="3316"/>
      </w:tblGrid>
      <w:tr>
        <w:trPr/>
        <w:tc>
          <w:tcPr>
            <w:tcW w:w="3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2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Trading</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3256" w:type="dxa"/>
            <w:tcBorders/>
            <w:shd w:fill="auto" w:val="clear"/>
            <w:vAlign w:val="center"/>
          </w:tcPr>
          <w:p>
            <w:pPr>
              <w:pStyle w:val="TableContents"/>
              <w:spacing w:lineRule="auto" w:line="252" w:before="0" w:after="0"/>
              <w:ind w:left="0" w:right="0" w:hanging="0"/>
              <w:jc w:val="center"/>
              <w:rPr>
                <w:rFonts w:ascii="Times New Roman" w:hAnsi="Times New Roman"/>
                <w:b w:val="false"/>
                <w:sz w:val="17"/>
              </w:rPr>
            </w:pPr>
            <w:r>
              <w:rPr>
                <w:rFonts w:ascii="Times New Roman" w:hAnsi="Times New Roman"/>
                <w:b w:val="false"/>
                <w:sz w:val="17"/>
              </w:rPr>
              <w:t>Common Stock $0.0001 Par Value per Share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26" w:type="dxa"/>
            <w:tcBorders/>
            <w:shd w:fill="auto" w:val="clear"/>
            <w:vAlign w:val="center"/>
          </w:tcPr>
          <w:p>
            <w:pPr>
              <w:pStyle w:val="TableContents"/>
              <w:spacing w:lineRule="auto" w:line="252" w:before="0" w:after="0"/>
              <w:ind w:left="0" w:right="0" w:hanging="0"/>
              <w:jc w:val="center"/>
              <w:rPr>
                <w:rFonts w:ascii="Times New Roman" w:hAnsi="Times New Roman"/>
                <w:b w:val="false"/>
                <w:sz w:val="17"/>
              </w:rPr>
            </w:pPr>
            <w:r>
              <w:rPr>
                <w:rFonts w:ascii="Times New Roman" w:hAnsi="Times New Roman"/>
                <w:b w:val="false"/>
                <w:sz w:val="17"/>
              </w:rPr>
              <w:t>RVMD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316" w:type="dxa"/>
            <w:tcBorders/>
            <w:shd w:fill="auto" w:val="clear"/>
            <w:vAlign w:val="center"/>
          </w:tcPr>
          <w:p>
            <w:pPr>
              <w:pStyle w:val="TableContents"/>
              <w:spacing w:lineRule="auto" w:line="252" w:before="0" w:after="0"/>
              <w:ind w:left="0" w:right="0" w:hanging="0"/>
              <w:jc w:val="center"/>
              <w:rPr>
                <w:rFonts w:ascii="Times New Roman" w:hAnsi="Times New Roman"/>
                <w:b w:val="false"/>
                <w:sz w:val="17"/>
              </w:rPr>
            </w:pPr>
            <w:r>
              <w:rPr>
                <w:rFonts w:ascii="Times New Roman" w:hAnsi="Times New Roman"/>
                <w:b w:val="false"/>
                <w:sz w:val="17"/>
              </w:rPr>
              <w:t xml:space="preserve">The Nasdaq Stock Market LLC </w:t>
            </w:r>
          </w:p>
          <w:p>
            <w:pPr>
              <w:pStyle w:val="TableContents"/>
              <w:spacing w:lineRule="auto" w:line="252" w:before="0" w:after="0"/>
              <w:ind w:left="0" w:right="0" w:hanging="0"/>
              <w:jc w:val="center"/>
              <w:rPr>
                <w:rFonts w:ascii="Times New Roman" w:hAnsi="Times New Roman"/>
                <w:b w:val="false"/>
                <w:sz w:val="17"/>
              </w:rPr>
            </w:pPr>
            <w:r>
              <w:rPr>
                <w:rFonts w:ascii="Times New Roman" w:hAnsi="Times New Roman"/>
                <w:b w:val="false"/>
                <w:sz w:val="17"/>
              </w:rPr>
              <w:t>(Nasdaq Global Select Market)</w:t>
            </w:r>
          </w:p>
        </w:tc>
      </w:tr>
    </w:tbl>
    <w:p>
      <w:pPr>
        <w:pStyle w:val="TextBody"/>
        <w:spacing w:lineRule="auto" w:line="273" w:before="40" w:after="0"/>
        <w:jc w:val="left"/>
        <w:rPr>
          <w:rFonts w:ascii="Times New Roman" w:hAnsi="Times New Roman"/>
          <w:sz w:val="20"/>
        </w:rPr>
      </w:pPr>
      <w:r>
        <w:rPr>
          <w:rFonts w:ascii="Times New Roman" w:hAnsi="Times New Roman"/>
          <w:b w:val="false"/>
          <w:sz w:val="17"/>
        </w:rPr>
        <w:t xml:space="preserve">Securities registered pursuant to Section 12(g) of the Act: </w:t>
      </w:r>
      <w:r>
        <w:rPr>
          <w:rFonts w:ascii="Times New Roman" w:hAnsi="Times New Roman"/>
          <w:b/>
          <w:sz w:val="17"/>
        </w:rPr>
        <w:t>None</w:t>
      </w:r>
      <w:r>
        <w:rPr>
          <w:rFonts w:ascii="Times New Roman" w:hAnsi="Times New Roman"/>
          <w:sz w:val="20"/>
        </w:rPr>
        <w:t xml:space="preserve"> </w:t>
      </w:r>
    </w:p>
    <w:p>
      <w:pPr>
        <w:pStyle w:val="TextBody"/>
        <w:spacing w:lineRule="auto" w:line="273" w:before="40" w:after="0"/>
        <w:jc w:val="left"/>
        <w:rPr>
          <w:rFonts w:ascii="Times New Roman" w:hAnsi="Times New Roman"/>
          <w:sz w:val="20"/>
        </w:rPr>
      </w:pPr>
      <w:r>
        <w:rPr>
          <w:rFonts w:ascii="Times New Roman" w:hAnsi="Times New Roman"/>
          <w:b w:val="false"/>
          <w:sz w:val="17"/>
        </w:rPr>
        <w:t>Indicate by check mark if the Registrant is a well-known seasoned issuer, as defined in Rule 405 of the Securities Act. Yes</w:t>
      </w:r>
      <w:r>
        <w:rPr>
          <w:rFonts w:ascii="Times New Roman" w:hAnsi="Times New Roman"/>
          <w:sz w:val="20"/>
        </w:rPr>
        <w:t xml:space="preserve"> ☒ </w:t>
      </w:r>
      <w:r>
        <w:rPr>
          <w:rFonts w:ascii="Times New Roman" w:hAnsi="Times New Roman"/>
          <w:b w:val="false"/>
          <w:sz w:val="17"/>
        </w:rPr>
        <w:t>No ☐</w:t>
      </w:r>
    </w:p>
    <w:p>
      <w:pPr>
        <w:pStyle w:val="TextBody"/>
        <w:spacing w:lineRule="auto" w:line="273" w:before="40" w:after="0"/>
        <w:jc w:val="left"/>
        <w:rPr>
          <w:rFonts w:ascii="Times New Roman" w:hAnsi="Times New Roman"/>
          <w:sz w:val="20"/>
        </w:rPr>
      </w:pPr>
      <w:r>
        <w:rPr>
          <w:rFonts w:ascii="Times New Roman" w:hAnsi="Times New Roman"/>
          <w:b w:val="false"/>
          <w:sz w:val="17"/>
        </w:rPr>
        <w:t>Indicate by check mark if the Registrant is not required to file reports pursuant to Section 13 or 15(d) of the Act. Yes ☐No</w:t>
      </w:r>
      <w:r>
        <w:rPr>
          <w:rFonts w:ascii="Times New Roman" w:hAnsi="Times New Roman"/>
          <w:sz w:val="20"/>
        </w:rPr>
        <w:t xml:space="preserve"> ☒</w:t>
      </w:r>
    </w:p>
    <w:p>
      <w:pPr>
        <w:pStyle w:val="TextBody"/>
        <w:spacing w:lineRule="auto" w:line="273" w:before="40" w:after="0"/>
        <w:jc w:val="left"/>
        <w:rPr>
          <w:rFonts w:ascii="Times New Roman" w:hAnsi="Times New Roman"/>
          <w:sz w:val="20"/>
        </w:rPr>
      </w:pPr>
      <w:r>
        <w:rPr>
          <w:rFonts w:ascii="Times New Roman" w:hAnsi="Times New Roman"/>
          <w:b w:val="false"/>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 w:hAnsi="Times New Roman"/>
          <w:b w:val="false"/>
          <w:sz w:val="17"/>
        </w:rPr>
        <w:t>No ☐</w:t>
      </w:r>
    </w:p>
    <w:p>
      <w:pPr>
        <w:pStyle w:val="TextBody"/>
        <w:spacing w:lineRule="auto" w:line="273" w:before="40" w:after="0"/>
        <w:jc w:val="left"/>
        <w:rPr>
          <w:rFonts w:ascii="Times New Roman" w:hAnsi="Times New Roman"/>
          <w:sz w:val="20"/>
        </w:rPr>
      </w:pPr>
      <w:r>
        <w:rPr>
          <w:rFonts w:ascii="Times New Roman" w:hAnsi="Times New Roman"/>
          <w:b w:val="false"/>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17"/>
        </w:rPr>
        <w:t>No ☐</w:t>
      </w:r>
    </w:p>
    <w:p>
      <w:pPr>
        <w:pStyle w:val="TextBody"/>
        <w:spacing w:lineRule="auto" w:line="273" w:before="40" w:after="0"/>
        <w:jc w:val="left"/>
        <w:rPr>
          <w:rFonts w:ascii="Times New Roman" w:hAnsi="Times New Roman"/>
          <w:b w:val="false"/>
          <w:sz w:val="17"/>
        </w:rPr>
      </w:pPr>
      <w:r>
        <w:rPr>
          <w:rFonts w:ascii="Times New Roman" w:hAnsi="Times New Roman"/>
          <w:b w:val="false"/>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273" w:before="0" w:after="0"/>
        <w:jc w:val="left"/>
        <w:rPr/>
      </w:pPr>
      <w:r>
        <w:rPr/>
        <w:t> </w:t>
      </w:r>
    </w:p>
    <w:tbl>
      <w:tblPr>
        <w:tblW w:w="4807" w:type="dxa"/>
        <w:jc w:val="left"/>
        <w:tblInd w:w="0" w:type="dxa"/>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Large accelerated filer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2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Accelerated filer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1666" w:type="dxa"/>
            <w:tcBorders/>
            <w:shd w:fill="auto" w:val="clear"/>
            <w:vAlign w:val="center"/>
          </w:tcPr>
          <w:p>
            <w:pPr>
              <w:pStyle w:val="TableContents"/>
              <w:spacing w:lineRule="auto" w:line="252" w:before="0" w:after="0"/>
              <w:ind w:left="0" w:right="0" w:hanging="0"/>
              <w:jc w:val="left"/>
              <w:rPr/>
            </w:pPr>
            <w:r>
              <w:rPr/>
              <w:t> </w:t>
            </w:r>
          </w:p>
        </w:tc>
        <w:tc>
          <w:tcPr>
            <w:tcW w:w="462" w:type="dxa"/>
            <w:gridSpan w:val="2"/>
            <w:tcBorders/>
            <w:shd w:fill="auto" w:val="clear"/>
            <w:vAlign w:val="center"/>
          </w:tcPr>
          <w:p>
            <w:pPr>
              <w:pStyle w:val="TableContents"/>
              <w:spacing w:lineRule="auto" w:line="252" w:before="0" w:after="0"/>
              <w:ind w:left="0" w:right="0" w:hanging="0"/>
              <w:jc w:val="left"/>
              <w:rPr/>
            </w:pPr>
            <w:r>
              <w:rPr/>
              <w:t> </w:t>
            </w:r>
          </w:p>
        </w:tc>
        <w:tc>
          <w:tcPr>
            <w:tcW w:w="2172" w:type="dxa"/>
            <w:gridSpan w:val="2"/>
            <w:tcBorders/>
            <w:shd w:fill="auto" w:val="clear"/>
            <w:vAlign w:val="center"/>
          </w:tcPr>
          <w:p>
            <w:pPr>
              <w:pStyle w:val="TableContents"/>
              <w:spacing w:lineRule="auto" w:line="252" w:before="0" w:after="0"/>
              <w:ind w:left="0" w:right="0" w:hanging="0"/>
              <w:jc w:val="left"/>
              <w:rPr/>
            </w:pPr>
            <w:r>
              <w:rPr/>
              <w:t> </w:t>
            </w:r>
          </w:p>
        </w:tc>
        <w:tc>
          <w:tcPr>
            <w:tcW w:w="507" w:type="dxa"/>
            <w:gridSpan w:val="2"/>
            <w:tcBorders/>
            <w:shd w:fill="auto" w:val="clear"/>
            <w:vAlign w:val="center"/>
          </w:tcPr>
          <w:p>
            <w:pPr>
              <w:pStyle w:val="TableContents"/>
              <w:spacing w:lineRule="auto" w:line="252" w:before="0" w:after="0"/>
              <w:ind w:left="0" w:right="0" w:hanging="0"/>
              <w:jc w:val="left"/>
              <w:rPr/>
            </w:pPr>
            <w:r>
              <w:rPr/>
              <w:t> </w:t>
            </w:r>
          </w:p>
        </w:tc>
      </w:tr>
      <w:tr>
        <w:trPr/>
        <w:tc>
          <w:tcPr>
            <w:tcW w:w="166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Non-accelerated filer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2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Smaller reporting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16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r>
        <w:trPr/>
        <w:tc>
          <w:tcPr>
            <w:tcW w:w="16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26" w:type="dxa"/>
            <w:tcBorders/>
            <w:shd w:fill="auto" w:val="clear"/>
            <w:vAlign w:val="center"/>
          </w:tcPr>
          <w:p>
            <w:pPr>
              <w:pStyle w:val="TableContents"/>
              <w:spacing w:lineRule="auto" w:line="252" w:before="0" w:after="0"/>
              <w:ind w:left="0" w:right="0" w:hanging="0"/>
              <w:jc w:val="left"/>
              <w:rPr>
                <w:rFonts w:ascii="Times New Roman" w:hAnsi="Times New Roman"/>
                <w:b w:val="false"/>
                <w:sz w:val="17"/>
              </w:rPr>
            </w:pPr>
            <w:r>
              <w:rPr>
                <w:rFonts w:ascii="Times New Roman" w:hAnsi="Times New Roman"/>
                <w:b w:val="false"/>
                <w:sz w:val="17"/>
              </w:rPr>
              <w:t>Emerging growth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7"/>
        </w:rPr>
      </w:pPr>
      <w:r>
        <w:rPr>
          <w:rFonts w:ascii="Times New Roman" w:hAnsi="Times New Roman"/>
          <w:b w:val="false"/>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73" w:before="40" w:after="0"/>
        <w:jc w:val="left"/>
        <w:rPr>
          <w:rFonts w:ascii="Times New Roman" w:hAnsi="Times New Roman"/>
          <w:sz w:val="20"/>
        </w:rPr>
      </w:pPr>
      <w:r>
        <w:rPr>
          <w:rFonts w:ascii="Times New Roman" w:hAnsi="Times New Roman"/>
          <w:b w:val="false"/>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lineRule="auto" w:line="273" w:before="40" w:after="0"/>
        <w:jc w:val="left"/>
        <w:rPr>
          <w:rFonts w:ascii="Times New Roman" w:hAnsi="Times New Roman"/>
          <w:sz w:val="20"/>
        </w:rPr>
      </w:pPr>
      <w:r>
        <w:rPr>
          <w:rFonts w:ascii="Times New Roman" w:hAnsi="Times New Roman"/>
          <w:b w:val="false"/>
          <w:sz w:val="17"/>
        </w:rPr>
        <w:t xml:space="preserve">Indicate by check mark whether the Registrant is a shell company (as defined in Rule 12b-2 of the Exchange Act). Yes ☐ No </w:t>
      </w:r>
      <w:r>
        <w:rPr>
          <w:rFonts w:ascii="Times New Roman" w:hAnsi="Times New Roman"/>
          <w:sz w:val="20"/>
        </w:rPr>
        <w:t>☒</w:t>
      </w:r>
    </w:p>
    <w:p>
      <w:pPr>
        <w:pStyle w:val="TextBody"/>
        <w:spacing w:lineRule="auto" w:line="273" w:before="40" w:after="0"/>
        <w:jc w:val="left"/>
        <w:rPr>
          <w:rFonts w:ascii="Times New Roman" w:hAnsi="Times New Roman"/>
          <w:sz w:val="20"/>
        </w:rPr>
      </w:pPr>
      <w:r>
        <w:rPr>
          <w:rFonts w:ascii="Times New Roman" w:hAnsi="Times New Roman"/>
          <w:b w:val="false"/>
          <w:sz w:val="17"/>
        </w:rPr>
        <w:t>The aggregate market value of the common stock held by non-affiliates of the registrant as of June 30, 2021 (the last business day of the registrant’s most recently completed second fiscal quarter) was approximately $1,956</w:t>
      </w:r>
      <w:r>
        <w:rPr>
          <w:rFonts w:ascii="Times New Roman" w:hAnsi="Times New Roman"/>
          <w:sz w:val="20"/>
        </w:rPr>
        <w:t xml:space="preserve"> </w:t>
      </w:r>
      <w:r>
        <w:rPr>
          <w:rFonts w:ascii="Times New Roman" w:hAnsi="Times New Roman"/>
          <w:b w:val="false"/>
          <w:sz w:val="17"/>
        </w:rPr>
        <w:t>million, based on the closing price of the registrant’s common stock, as reported by the Nasdaq Global Select Market on June 30, 2021 of $31.74 per share.</w:t>
      </w:r>
      <w:r>
        <w:rPr>
          <w:rFonts w:ascii="Times New Roman" w:hAnsi="Times New Roman"/>
          <w:sz w:val="20"/>
        </w:rPr>
        <w:t xml:space="preserve"> </w:t>
      </w:r>
    </w:p>
    <w:p>
      <w:pPr>
        <w:pStyle w:val="TextBody"/>
        <w:spacing w:lineRule="auto" w:line="273" w:before="40" w:after="0"/>
        <w:jc w:val="left"/>
        <w:rPr>
          <w:rFonts w:ascii="Times New Roman" w:hAnsi="Times New Roman"/>
          <w:sz w:val="20"/>
        </w:rPr>
      </w:pPr>
      <w:r>
        <w:rPr>
          <w:rFonts w:ascii="Times New Roman" w:hAnsi="Times New Roman"/>
          <w:b w:val="false"/>
          <w:sz w:val="17"/>
        </w:rPr>
        <w:t>The number of shares of the Registrant’s Common Stock outstanding on the Nasdaq Global Select Market as of</w:t>
      </w:r>
      <w:r>
        <w:rPr>
          <w:rFonts w:ascii="Times New Roman" w:hAnsi="Times New Roman"/>
          <w:sz w:val="20"/>
        </w:rPr>
        <w:t xml:space="preserve"> </w:t>
      </w:r>
      <w:r>
        <w:rPr>
          <w:rFonts w:ascii="Times New Roman" w:hAnsi="Times New Roman"/>
          <w:b w:val="false"/>
          <w:sz w:val="17"/>
        </w:rPr>
        <w:t>February 23, 2022 was 74,188,971.</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17"/>
        </w:rPr>
      </w:pPr>
      <w:r>
        <w:rPr>
          <w:rFonts w:ascii="Times New Roman" w:hAnsi="Times New Roman"/>
          <w:b w:val="false"/>
          <w:sz w:val="17"/>
        </w:rPr>
        <w:t>DOCUMENTS INCORPORATED BY REFERENCE</w:t>
      </w:r>
    </w:p>
    <w:p>
      <w:pPr>
        <w:pStyle w:val="TextBody"/>
        <w:spacing w:lineRule="auto" w:line="273" w:before="40" w:after="0"/>
        <w:jc w:val="left"/>
        <w:rPr>
          <w:rFonts w:ascii="Times New Roman" w:hAnsi="Times New Roman"/>
          <w:b w:val="false"/>
          <w:sz w:val="17"/>
        </w:rPr>
      </w:pPr>
      <w:r>
        <w:rPr>
          <w:rFonts w:ascii="Times New Roman" w:hAnsi="Times New Roman"/>
          <w:b w:val="false"/>
          <w:sz w:val="17"/>
        </w:rPr>
        <w:t>Portions of the Registrant’s definitive Proxy Statement relating to the registrant’s 2021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2021.</w:t>
      </w:r>
    </w:p>
    <w:p>
      <w:pPr>
        <w:pStyle w:val="TextBody"/>
        <w:pBdr>
          <w:bottom w:val="double" w:sz="6" w:space="1" w:color="000000"/>
        </w:pBdr>
        <w:spacing w:lineRule="auto" w:line="273" w:before="0" w:after="0"/>
        <w:jc w:val="left"/>
        <w:rPr/>
      </w:pPr>
      <w:r>
        <w:rPr/>
        <w:t> </w:t>
      </w:r>
    </w:p>
    <w:p>
      <w:pPr>
        <w:pStyle w:val="TextBody"/>
        <w:spacing w:lineRule="auto" w:line="273" w:before="240" w:after="0"/>
        <w:jc w:val="center"/>
        <w:rPr/>
      </w:pPr>
      <w:r>
        <w:rPr/>
        <w:t> </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Table of Contents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83"/>
        <w:gridCol w:w="8711"/>
        <w:gridCol w:w="611"/>
      </w:tblGrid>
      <w:tr>
        <w:trPr/>
        <w:tc>
          <w:tcPr>
            <w:tcW w:w="883" w:type="dxa"/>
            <w:tcBorders/>
            <w:shd w:fill="auto" w:val="clear"/>
            <w:vAlign w:val="center"/>
          </w:tcPr>
          <w:p>
            <w:pPr>
              <w:pStyle w:val="TableContents"/>
              <w:spacing w:before="0" w:after="283"/>
              <w:rPr>
                <w:sz w:val="4"/>
                <w:szCs w:val="4"/>
              </w:rPr>
            </w:pPr>
            <w:r>
              <w:rPr>
                <w:sz w:val="4"/>
                <w:szCs w:val="4"/>
              </w:rPr>
            </w:r>
          </w:p>
        </w:tc>
        <w:tc>
          <w:tcPr>
            <w:tcW w:w="871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883" w:type="dxa"/>
            <w:tcBorders/>
            <w:shd w:fill="auto" w:val="clear"/>
            <w:vAlign w:val="center"/>
          </w:tcPr>
          <w:p>
            <w:pPr>
              <w:pStyle w:val="TableContents"/>
              <w:spacing w:lineRule="auto" w:line="252" w:before="0" w:after="0"/>
              <w:ind w:left="0" w:right="0" w:hanging="0"/>
              <w:jc w:val="left"/>
              <w:rPr/>
            </w:pPr>
            <w:r>
              <w:rPr/>
              <w:t> </w:t>
            </w:r>
          </w:p>
        </w:tc>
        <w:tc>
          <w:tcPr>
            <w:tcW w:w="8711" w:type="dxa"/>
            <w:tcBorders/>
            <w:shd w:fill="auto" w:val="clear"/>
            <w:vAlign w:val="center"/>
          </w:tcPr>
          <w:p>
            <w:pPr>
              <w:pStyle w:val="TableContents"/>
              <w:spacing w:lineRule="auto" w:line="252" w:before="0" w:after="0"/>
              <w:ind w:left="0" w:right="0" w:hanging="0"/>
              <w:jc w:val="left"/>
              <w:rPr/>
            </w:pPr>
            <w:r>
              <w:rPr/>
              <w:t> </w:t>
            </w:r>
          </w:p>
        </w:tc>
        <w:tc>
          <w:tcPr>
            <w:tcW w:w="6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i/>
                <w:sz w:val="16"/>
              </w:rPr>
            </w:pPr>
            <w:r>
              <w:rPr>
                <w:rFonts w:ascii="Times New Roman" w:hAnsi="Times New Roman"/>
                <w:b/>
                <w:i/>
                <w:sz w:val="16"/>
              </w:rPr>
              <w:t>Page</w:t>
            </w:r>
          </w:p>
        </w:tc>
      </w:tr>
      <w:tr>
        <w:trPr/>
        <w:tc>
          <w:tcPr>
            <w:tcW w:w="883" w:type="dxa"/>
            <w:tcBorders/>
            <w:shd w:fill="auto" w:val="clear"/>
            <w:vAlign w:val="center"/>
          </w:tcPr>
          <w:p>
            <w:pPr>
              <w:pStyle w:val="TableContents"/>
              <w:spacing w:lineRule="auto" w:line="252" w:before="0" w:after="0"/>
              <w:ind w:left="0" w:right="0" w:hanging="0"/>
              <w:jc w:val="left"/>
              <w:rPr/>
            </w:pPr>
            <w:hyperlink w:anchor="part_1">
              <w:r>
                <w:rPr>
                  <w:rStyle w:val="InternetLink"/>
                  <w:rFonts w:ascii="Times New Roman" w:hAnsi="Times New Roman"/>
                  <w:b/>
                  <w:i/>
                  <w:sz w:val="20"/>
                  <w:u w:val="single"/>
                </w:rPr>
                <w:t>PART I</w:t>
              </w:r>
            </w:hyperlink>
          </w:p>
        </w:tc>
        <w:tc>
          <w:tcPr>
            <w:tcW w:w="8711"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4</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1.</w:t>
            </w:r>
          </w:p>
        </w:tc>
        <w:tc>
          <w:tcPr>
            <w:tcW w:w="8711" w:type="dxa"/>
            <w:tcBorders/>
            <w:shd w:fill="auto" w:val="clear"/>
            <w:vAlign w:val="center"/>
          </w:tcPr>
          <w:p>
            <w:pPr>
              <w:pStyle w:val="TableContents"/>
              <w:spacing w:lineRule="auto" w:line="252" w:before="0" w:after="0"/>
              <w:ind w:left="0" w:right="0" w:hanging="0"/>
              <w:jc w:val="left"/>
              <w:rPr/>
            </w:pPr>
            <w:hyperlink w:anchor="item_1_business">
              <w:r>
                <w:rPr>
                  <w:rStyle w:val="InternetLink"/>
                  <w:rFonts w:ascii="Times New Roman" w:hAnsi="Times New Roman"/>
                  <w:b w:val="false"/>
                  <w:i/>
                  <w:sz w:val="20"/>
                  <w:u w:val="single"/>
                </w:rPr>
                <w:t>Business</w:t>
              </w:r>
            </w:hyperlink>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4</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1A.</w:t>
            </w:r>
          </w:p>
        </w:tc>
        <w:tc>
          <w:tcPr>
            <w:tcW w:w="8711" w:type="dxa"/>
            <w:tcBorders/>
            <w:shd w:fill="auto" w:val="clear"/>
            <w:vAlign w:val="center"/>
          </w:tcPr>
          <w:p>
            <w:pPr>
              <w:pStyle w:val="TableContents"/>
              <w:spacing w:lineRule="auto" w:line="252" w:before="0" w:after="0"/>
              <w:ind w:left="0" w:right="0" w:hanging="0"/>
              <w:jc w:val="left"/>
              <w:rPr/>
            </w:pPr>
            <w:hyperlink w:anchor="item_1a_risk_factors">
              <w:r>
                <w:rPr>
                  <w:rStyle w:val="InternetLink"/>
                  <w:rFonts w:ascii="Times New Roman" w:hAnsi="Times New Roman"/>
                  <w:b w:val="false"/>
                  <w:i/>
                  <w:sz w:val="20"/>
                  <w:u w:val="single"/>
                </w:rPr>
                <w:t>Risk Factors</w:t>
              </w:r>
            </w:hyperlink>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27</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1B.</w:t>
            </w:r>
          </w:p>
        </w:tc>
        <w:tc>
          <w:tcPr>
            <w:tcW w:w="8711" w:type="dxa"/>
            <w:tcBorders/>
            <w:shd w:fill="auto" w:val="clear"/>
            <w:vAlign w:val="center"/>
          </w:tcPr>
          <w:p>
            <w:pPr>
              <w:pStyle w:val="TableContents"/>
              <w:spacing w:lineRule="auto" w:line="252" w:before="0" w:after="0"/>
              <w:ind w:left="0" w:right="0" w:hanging="0"/>
              <w:jc w:val="left"/>
              <w:rPr/>
            </w:pPr>
            <w:hyperlink w:anchor="item_1b_unresolved_staff_comments">
              <w:r>
                <w:rPr>
                  <w:rStyle w:val="InternetLink"/>
                  <w:rFonts w:ascii="Times New Roman" w:hAnsi="Times New Roman"/>
                  <w:b w:val="false"/>
                  <w:i/>
                  <w:sz w:val="20"/>
                  <w:u w:val="single"/>
                </w:rPr>
                <w:t>Unresolved Staff Comments</w:t>
              </w:r>
            </w:hyperlink>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72</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2.</w:t>
            </w:r>
          </w:p>
        </w:tc>
        <w:tc>
          <w:tcPr>
            <w:tcW w:w="8711" w:type="dxa"/>
            <w:tcBorders/>
            <w:shd w:fill="auto" w:val="clear"/>
            <w:vAlign w:val="center"/>
          </w:tcPr>
          <w:p>
            <w:pPr>
              <w:pStyle w:val="TableContents"/>
              <w:spacing w:lineRule="auto" w:line="252" w:before="0" w:after="0"/>
              <w:ind w:left="0" w:right="0" w:hanging="0"/>
              <w:jc w:val="left"/>
              <w:rPr/>
            </w:pPr>
            <w:hyperlink w:anchor="item_2_properties">
              <w:r>
                <w:rPr>
                  <w:rStyle w:val="InternetLink"/>
                  <w:rFonts w:ascii="Times New Roman" w:hAnsi="Times New Roman"/>
                  <w:b w:val="false"/>
                  <w:i/>
                  <w:sz w:val="20"/>
                  <w:u w:val="single"/>
                </w:rPr>
                <w:t>Properties</w:t>
              </w:r>
            </w:hyperlink>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73</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3.</w:t>
            </w:r>
          </w:p>
        </w:tc>
        <w:tc>
          <w:tcPr>
            <w:tcW w:w="8711" w:type="dxa"/>
            <w:tcBorders/>
            <w:shd w:fill="auto" w:val="clear"/>
            <w:vAlign w:val="center"/>
          </w:tcPr>
          <w:p>
            <w:pPr>
              <w:pStyle w:val="TableContents"/>
              <w:spacing w:lineRule="auto" w:line="252" w:before="0" w:after="0"/>
              <w:ind w:left="0" w:right="0" w:hanging="0"/>
              <w:jc w:val="left"/>
              <w:rPr/>
            </w:pPr>
            <w:hyperlink w:anchor="item_3_legal_proceedings">
              <w:r>
                <w:rPr>
                  <w:rStyle w:val="InternetLink"/>
                  <w:rFonts w:ascii="Times New Roman" w:hAnsi="Times New Roman"/>
                  <w:b w:val="false"/>
                  <w:i/>
                  <w:sz w:val="20"/>
                  <w:u w:val="single"/>
                </w:rPr>
                <w:t>Legal Proceedings</w:t>
              </w:r>
            </w:hyperlink>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73</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4.</w:t>
            </w:r>
          </w:p>
        </w:tc>
        <w:tc>
          <w:tcPr>
            <w:tcW w:w="8711" w:type="dxa"/>
            <w:tcBorders/>
            <w:shd w:fill="auto" w:val="clear"/>
            <w:vAlign w:val="center"/>
          </w:tcPr>
          <w:p>
            <w:pPr>
              <w:pStyle w:val="TableContents"/>
              <w:spacing w:lineRule="auto" w:line="252" w:before="0" w:after="0"/>
              <w:ind w:left="0" w:right="0" w:hanging="0"/>
              <w:jc w:val="left"/>
              <w:rPr/>
            </w:pPr>
            <w:hyperlink w:anchor="item_4_mine_safety_disclosures">
              <w:r>
                <w:rPr>
                  <w:rStyle w:val="InternetLink"/>
                  <w:rFonts w:ascii="Times New Roman" w:hAnsi="Times New Roman"/>
                  <w:b w:val="false"/>
                  <w:i/>
                  <w:sz w:val="20"/>
                  <w:u w:val="single"/>
                </w:rPr>
                <w:t>Mine Safety Disclosures</w:t>
              </w:r>
            </w:hyperlink>
          </w:p>
        </w:tc>
        <w:tc>
          <w:tcPr>
            <w:tcW w:w="611" w:type="dxa"/>
            <w:tcBorders/>
            <w:shd w:fill="auto" w:val="clear"/>
            <w:vAlign w:val="center"/>
          </w:tcPr>
          <w:p>
            <w:pPr>
              <w:pStyle w:val="TableContents"/>
              <w:spacing w:lineRule="auto" w:line="252" w:before="0" w:after="0"/>
              <w:ind w:left="0" w:right="0" w:hanging="0"/>
              <w:jc w:val="right"/>
              <w:rPr>
                <w:rFonts w:ascii="Times New Roman" w:hAnsi="Times New Roman"/>
                <w:b w:val="false"/>
                <w:i/>
                <w:sz w:val="20"/>
              </w:rPr>
            </w:pPr>
            <w:r>
              <w:rPr>
                <w:rFonts w:ascii="Times New Roman" w:hAnsi="Times New Roman"/>
                <w:b w:val="false"/>
                <w:i/>
                <w:sz w:val="20"/>
              </w:rPr>
              <w:t>73</w:t>
            </w:r>
          </w:p>
        </w:tc>
      </w:tr>
      <w:tr>
        <w:trPr/>
        <w:tc>
          <w:tcPr>
            <w:tcW w:w="883" w:type="dxa"/>
            <w:tcBorders/>
            <w:shd w:fill="auto" w:val="clear"/>
            <w:vAlign w:val="center"/>
          </w:tcPr>
          <w:p>
            <w:pPr>
              <w:pStyle w:val="TableContents"/>
              <w:spacing w:lineRule="auto" w:line="252" w:before="0" w:after="0"/>
              <w:ind w:left="0" w:right="0" w:hanging="0"/>
              <w:jc w:val="left"/>
              <w:rPr/>
            </w:pPr>
            <w:r>
              <w:rPr/>
              <w:t> </w:t>
            </w:r>
          </w:p>
        </w:tc>
        <w:tc>
          <w:tcPr>
            <w:tcW w:w="8711"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883" w:type="dxa"/>
            <w:tcBorders/>
            <w:shd w:fill="auto" w:val="clear"/>
            <w:vAlign w:val="center"/>
          </w:tcPr>
          <w:p>
            <w:pPr>
              <w:pStyle w:val="TableContents"/>
              <w:spacing w:lineRule="auto" w:line="252" w:before="0" w:after="0"/>
              <w:ind w:left="0" w:right="0" w:hanging="0"/>
              <w:jc w:val="left"/>
              <w:rPr/>
            </w:pPr>
            <w:hyperlink w:anchor="part_ii">
              <w:r>
                <w:rPr>
                  <w:rStyle w:val="InternetLink"/>
                  <w:rFonts w:ascii="Times New Roman" w:hAnsi="Times New Roman"/>
                  <w:b/>
                  <w:i/>
                  <w:sz w:val="20"/>
                  <w:u w:val="single"/>
                </w:rPr>
                <w:t>PART II</w:t>
              </w:r>
            </w:hyperlink>
          </w:p>
        </w:tc>
        <w:tc>
          <w:tcPr>
            <w:tcW w:w="8711"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74</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5.</w:t>
            </w:r>
          </w:p>
        </w:tc>
        <w:tc>
          <w:tcPr>
            <w:tcW w:w="8711" w:type="dxa"/>
            <w:tcBorders/>
            <w:shd w:fill="auto" w:val="clear"/>
            <w:vAlign w:val="center"/>
          </w:tcPr>
          <w:p>
            <w:pPr>
              <w:pStyle w:val="TableContents"/>
              <w:spacing w:lineRule="auto" w:line="252" w:before="0" w:after="0"/>
              <w:ind w:left="0" w:right="0" w:hanging="0"/>
              <w:jc w:val="left"/>
              <w:rPr/>
            </w:pPr>
            <w:hyperlink w:anchor="item_5_market_for_registrants_common_equ">
              <w:r>
                <w:rPr>
                  <w:rStyle w:val="InternetLink"/>
                  <w:rFonts w:ascii="Times New Roman" w:hAnsi="Times New Roman"/>
                  <w:b w:val="false"/>
                  <w:i/>
                  <w:sz w:val="20"/>
                  <w:u w:val="single"/>
                </w:rPr>
                <w:t>Market for Registrant’s Common Equity, Related Stockholder Matters and Issuer Purchases of Equity Securities</w:t>
              </w:r>
            </w:hyperlink>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74</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6.</w:t>
            </w:r>
          </w:p>
        </w:tc>
        <w:tc>
          <w:tcPr>
            <w:tcW w:w="8711" w:type="dxa"/>
            <w:tcBorders/>
            <w:shd w:fill="auto" w:val="clear"/>
            <w:vAlign w:val="center"/>
          </w:tcPr>
          <w:p>
            <w:pPr>
              <w:pStyle w:val="TableContents"/>
              <w:spacing w:lineRule="auto" w:line="252" w:before="0" w:after="0"/>
              <w:ind w:left="0" w:right="0" w:hanging="0"/>
              <w:jc w:val="left"/>
              <w:rPr/>
            </w:pPr>
            <w:hyperlink w:anchor="item_6_selected_financial_data">
              <w:r>
                <w:rPr>
                  <w:rStyle w:val="InternetLink"/>
                  <w:rFonts w:ascii="Times New Roman" w:hAnsi="Times New Roman"/>
                  <w:b w:val="false"/>
                  <w:i/>
                  <w:sz w:val="20"/>
                  <w:u w:val="single"/>
                </w:rPr>
                <w:t>Selected Financial Data</w:t>
              </w:r>
            </w:hyperlink>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75</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7.</w:t>
            </w:r>
          </w:p>
        </w:tc>
        <w:tc>
          <w:tcPr>
            <w:tcW w:w="8711" w:type="dxa"/>
            <w:tcBorders/>
            <w:shd w:fill="auto" w:val="clear"/>
            <w:vAlign w:val="center"/>
          </w:tcPr>
          <w:p>
            <w:pPr>
              <w:pStyle w:val="TableContents"/>
              <w:spacing w:lineRule="auto" w:line="252" w:before="0" w:after="0"/>
              <w:ind w:left="0" w:right="0" w:hanging="0"/>
              <w:jc w:val="left"/>
              <w:rPr/>
            </w:pPr>
            <w:hyperlink w:anchor="item_7_managements_discussion_analysis_f">
              <w:r>
                <w:rPr>
                  <w:rStyle w:val="InternetLink"/>
                  <w:rFonts w:ascii="Times New Roman" w:hAnsi="Times New Roman"/>
                  <w:b w:val="false"/>
                  <w:i/>
                  <w:sz w:val="20"/>
                  <w:u w:val="single"/>
                </w:rPr>
                <w:t>Management’s Discussion and Analysis of Financial Condition and Results of Operations</w:t>
              </w:r>
            </w:hyperlink>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76</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7A.</w:t>
            </w:r>
          </w:p>
        </w:tc>
        <w:tc>
          <w:tcPr>
            <w:tcW w:w="8711" w:type="dxa"/>
            <w:tcBorders/>
            <w:shd w:fill="auto" w:val="clear"/>
            <w:vAlign w:val="center"/>
          </w:tcPr>
          <w:p>
            <w:pPr>
              <w:pStyle w:val="TableContents"/>
              <w:spacing w:lineRule="auto" w:line="252" w:before="0" w:after="0"/>
              <w:ind w:left="0" w:right="0" w:hanging="0"/>
              <w:jc w:val="left"/>
              <w:rPr/>
            </w:pPr>
            <w:hyperlink w:anchor="item_7a_quantitative_qualitative_disclos">
              <w:r>
                <w:rPr>
                  <w:rStyle w:val="InternetLink"/>
                  <w:rFonts w:ascii="Times New Roman" w:hAnsi="Times New Roman"/>
                  <w:b w:val="false"/>
                  <w:i/>
                  <w:sz w:val="20"/>
                  <w:u w:val="single"/>
                </w:rPr>
                <w:t>Quantitative and Qualitative Disclosures About Market Risk</w:t>
              </w:r>
            </w:hyperlink>
          </w:p>
        </w:tc>
        <w:tc>
          <w:tcPr>
            <w:tcW w:w="611" w:type="dxa"/>
            <w:tcBorders/>
            <w:shd w:fill="auto" w:val="clear"/>
            <w:vAlign w:val="center"/>
          </w:tcPr>
          <w:p>
            <w:pPr>
              <w:pStyle w:val="TableContents"/>
              <w:spacing w:lineRule="auto" w:line="252" w:before="0" w:after="0"/>
              <w:ind w:left="0" w:right="0" w:firstLine="137"/>
              <w:jc w:val="right"/>
              <w:rPr>
                <w:rFonts w:ascii="Times New Roman" w:hAnsi="Times New Roman"/>
                <w:b w:val="false"/>
                <w:i/>
                <w:sz w:val="20"/>
              </w:rPr>
            </w:pPr>
            <w:r>
              <w:rPr>
                <w:rFonts w:ascii="Times New Roman" w:hAnsi="Times New Roman"/>
                <w:b w:val="false"/>
                <w:i/>
                <w:sz w:val="20"/>
              </w:rPr>
              <w:t>88</w:t>
            </w:r>
          </w:p>
        </w:tc>
      </w:tr>
      <w:tr>
        <w:trPr/>
        <w:tc>
          <w:tcPr>
            <w:tcW w:w="883" w:type="dxa"/>
            <w:tcBorders/>
            <w:shd w:fill="auto" w:val="clear"/>
            <w:vAlign w:val="center"/>
          </w:tcPr>
          <w:p>
            <w:pPr>
              <w:pStyle w:val="TableContents"/>
              <w:spacing w:lineRule="auto" w:line="252" w:before="0" w:after="0"/>
              <w:ind w:left="137" w:right="0" w:hanging="0"/>
              <w:jc w:val="left"/>
              <w:rPr>
                <w:rFonts w:ascii="Times New Roman" w:hAnsi="Times New Roman"/>
                <w:b w:val="false"/>
                <w:i/>
                <w:sz w:val="20"/>
              </w:rPr>
            </w:pPr>
            <w:r>
              <w:rPr>
                <w:rFonts w:ascii="Times New Roman" w:hAnsi="Times New Roman"/>
                <w:b w:val="false"/>
                <w:i/>
                <w:sz w:val="20"/>
              </w:rPr>
              <w:t>Item 8.</w:t>
            </w:r>
          </w:p>
        </w:tc>
        <w:tc>
          <w:tcPr>
            <w:tcW w:w="8711" w:type="dxa"/>
            <w:tcBorders/>
            <w:shd w:fill="auto" w:val="clear"/>
            <w:vAlign w:val="center"/>
          </w:tcPr>
          <w:p>
            <w:pPr>
              <w:pStyle w:val="TableContents"/>
              <w:spacing w:lineRule="auto" w:line="252" w:before="0" w:after="0"/>
              <w:ind w:left="0" w:right="0" w:hanging="0"/>
              <w:jc w:val="left"/>
              <w:rPr/>
            </w:pPr>
            <w:hyperlink w:anchor="item_8_financial_statements_supplementar">
              <w:r>
                <w:rPr>
                  <w:rStyle w:val="InternetLink"/>
                  <w:rFonts w:ascii="Times New Roman" w:hAnsi="Times New Roman"/>
                  <w:b w:val="false"/>
                  <w:i/>
                  <w:sz w:val="20"/>
                  <w:u w:val="single"/>
                </w:rPr>
                <w:t>Financial Statements and Supplementary Data</w:t>
              </w:r>
            </w:hyperlink>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89</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9.</w:t>
            </w:r>
          </w:p>
        </w:tc>
        <w:tc>
          <w:tcPr>
            <w:tcW w:w="8711" w:type="dxa"/>
            <w:tcBorders/>
            <w:shd w:fill="auto" w:val="clear"/>
            <w:vAlign w:val="center"/>
          </w:tcPr>
          <w:p>
            <w:pPr>
              <w:pStyle w:val="TableContents"/>
              <w:spacing w:lineRule="auto" w:line="252" w:before="0" w:after="0"/>
              <w:ind w:left="0" w:right="0" w:hanging="0"/>
              <w:jc w:val="left"/>
              <w:rPr/>
            </w:pPr>
            <w:hyperlink w:anchor="item_9_changes_in_disagreements_with_acc">
              <w:r>
                <w:rPr>
                  <w:rStyle w:val="InternetLink"/>
                  <w:rFonts w:ascii="Times New Roman" w:hAnsi="Times New Roman"/>
                  <w:b w:val="false"/>
                  <w:i/>
                  <w:sz w:val="20"/>
                  <w:u w:val="single"/>
                </w:rPr>
                <w:t>Changes in and Disagreements With Accountants on Accounting and Financial Disclosure</w:t>
              </w:r>
            </w:hyperlink>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118</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9A.</w:t>
            </w:r>
          </w:p>
        </w:tc>
        <w:tc>
          <w:tcPr>
            <w:tcW w:w="8711" w:type="dxa"/>
            <w:tcBorders/>
            <w:shd w:fill="auto" w:val="clear"/>
            <w:vAlign w:val="center"/>
          </w:tcPr>
          <w:p>
            <w:pPr>
              <w:pStyle w:val="TableContents"/>
              <w:spacing w:lineRule="auto" w:line="252" w:before="0" w:after="0"/>
              <w:ind w:left="0" w:right="0" w:hanging="0"/>
              <w:jc w:val="left"/>
              <w:rPr/>
            </w:pPr>
            <w:hyperlink w:anchor="item_9a_controls_procedures">
              <w:r>
                <w:rPr>
                  <w:rStyle w:val="InternetLink"/>
                  <w:rFonts w:ascii="Times New Roman" w:hAnsi="Times New Roman"/>
                  <w:b w:val="false"/>
                  <w:i/>
                  <w:sz w:val="20"/>
                  <w:u w:val="single"/>
                </w:rPr>
                <w:t>Controls and Procedures</w:t>
              </w:r>
            </w:hyperlink>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118</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9B.</w:t>
            </w:r>
          </w:p>
        </w:tc>
        <w:tc>
          <w:tcPr>
            <w:tcW w:w="8711" w:type="dxa"/>
            <w:tcBorders/>
            <w:shd w:fill="auto" w:val="clear"/>
            <w:vAlign w:val="center"/>
          </w:tcPr>
          <w:p>
            <w:pPr>
              <w:pStyle w:val="TableContents"/>
              <w:spacing w:lineRule="auto" w:line="252" w:before="0" w:after="0"/>
              <w:ind w:left="0" w:right="0" w:hanging="0"/>
              <w:jc w:val="left"/>
              <w:rPr/>
            </w:pPr>
            <w:hyperlink w:anchor="item_9b_or_information">
              <w:r>
                <w:rPr>
                  <w:rStyle w:val="InternetLink"/>
                  <w:rFonts w:ascii="Times New Roman" w:hAnsi="Times New Roman"/>
                  <w:b w:val="false"/>
                  <w:i/>
                  <w:sz w:val="20"/>
                  <w:u w:val="single"/>
                </w:rPr>
                <w:t>Other Information</w:t>
              </w:r>
            </w:hyperlink>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118</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9C.</w:t>
            </w:r>
          </w:p>
        </w:tc>
        <w:tc>
          <w:tcPr>
            <w:tcW w:w="8711" w:type="dxa"/>
            <w:tcBorders/>
            <w:shd w:fill="auto" w:val="clear"/>
            <w:vAlign w:val="center"/>
          </w:tcPr>
          <w:p>
            <w:pPr>
              <w:pStyle w:val="TableContents"/>
              <w:spacing w:lineRule="auto" w:line="252" w:before="0" w:after="0"/>
              <w:ind w:left="0" w:right="0" w:hanging="0"/>
              <w:jc w:val="left"/>
              <w:rPr/>
            </w:pPr>
            <w:hyperlink w:anchor="item9c_disclosure_regarding_foreign">
              <w:r>
                <w:rPr>
                  <w:rStyle w:val="InternetLink"/>
                  <w:rFonts w:ascii="Times New Roman" w:hAnsi="Times New Roman"/>
                  <w:b w:val="false"/>
                  <w:i/>
                  <w:sz w:val="20"/>
                  <w:u w:val="single"/>
                </w:rPr>
                <w:t>Disclosure Regarding Foreign Jurisdictions that Prevent Inspections</w:t>
              </w:r>
            </w:hyperlink>
            <w:r>
              <w:rPr>
                <w:rFonts w:ascii="Times New Roman" w:hAnsi="Times New Roman"/>
                <w:b w:val="false"/>
                <w:i/>
                <w:sz w:val="20"/>
              </w:rPr>
              <w:t>.</w:t>
            </w:r>
          </w:p>
        </w:tc>
        <w:tc>
          <w:tcPr>
            <w:tcW w:w="611" w:type="dxa"/>
            <w:tcBorders/>
            <w:shd w:fill="auto" w:val="clear"/>
            <w:vAlign w:val="center"/>
          </w:tcPr>
          <w:p>
            <w:pPr>
              <w:pStyle w:val="TableContents"/>
              <w:spacing w:lineRule="auto" w:line="252" w:before="0" w:after="0"/>
              <w:ind w:left="0" w:right="0" w:hanging="0"/>
              <w:jc w:val="right"/>
              <w:rPr>
                <w:rFonts w:ascii="Times New Roman" w:hAnsi="Times New Roman"/>
                <w:b w:val="false"/>
                <w:i/>
                <w:sz w:val="20"/>
              </w:rPr>
            </w:pPr>
            <w:r>
              <w:rPr>
                <w:rFonts w:ascii="Times New Roman" w:hAnsi="Times New Roman"/>
                <w:b w:val="false"/>
                <w:i/>
                <w:sz w:val="20"/>
              </w:rPr>
              <w:t>118</w:t>
            </w:r>
          </w:p>
        </w:tc>
      </w:tr>
      <w:tr>
        <w:trPr/>
        <w:tc>
          <w:tcPr>
            <w:tcW w:w="883" w:type="dxa"/>
            <w:tcBorders/>
            <w:shd w:fill="auto" w:val="clear"/>
            <w:vAlign w:val="center"/>
          </w:tcPr>
          <w:p>
            <w:pPr>
              <w:pStyle w:val="TableContents"/>
              <w:spacing w:lineRule="auto" w:line="252" w:before="0" w:after="0"/>
              <w:ind w:left="0" w:right="0" w:hanging="0"/>
              <w:jc w:val="left"/>
              <w:rPr/>
            </w:pPr>
            <w:r>
              <w:rPr/>
              <w:t> </w:t>
            </w:r>
          </w:p>
        </w:tc>
        <w:tc>
          <w:tcPr>
            <w:tcW w:w="8711"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883" w:type="dxa"/>
            <w:tcBorders/>
            <w:shd w:fill="auto" w:val="clear"/>
            <w:vAlign w:val="center"/>
          </w:tcPr>
          <w:p>
            <w:pPr>
              <w:pStyle w:val="TableContents"/>
              <w:spacing w:lineRule="auto" w:line="252" w:before="0" w:after="0"/>
              <w:ind w:left="0" w:right="0" w:hanging="0"/>
              <w:jc w:val="left"/>
              <w:rPr/>
            </w:pPr>
            <w:hyperlink w:anchor="part_iii">
              <w:r>
                <w:rPr>
                  <w:rStyle w:val="InternetLink"/>
                  <w:rFonts w:ascii="Times New Roman" w:hAnsi="Times New Roman"/>
                  <w:b/>
                  <w:i/>
                  <w:sz w:val="20"/>
                  <w:u w:val="single"/>
                </w:rPr>
                <w:t>PART III</w:t>
              </w:r>
            </w:hyperlink>
          </w:p>
        </w:tc>
        <w:tc>
          <w:tcPr>
            <w:tcW w:w="8711"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119</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10.</w:t>
            </w:r>
          </w:p>
        </w:tc>
        <w:tc>
          <w:tcPr>
            <w:tcW w:w="8711" w:type="dxa"/>
            <w:tcBorders/>
            <w:shd w:fill="auto" w:val="clear"/>
            <w:vAlign w:val="center"/>
          </w:tcPr>
          <w:p>
            <w:pPr>
              <w:pStyle w:val="TableContents"/>
              <w:spacing w:lineRule="auto" w:line="252" w:before="0" w:after="0"/>
              <w:ind w:left="0" w:right="0" w:hanging="0"/>
              <w:jc w:val="left"/>
              <w:rPr/>
            </w:pPr>
            <w:hyperlink w:anchor="item_10_directors_executive">
              <w:r>
                <w:rPr>
                  <w:rStyle w:val="InternetLink"/>
                  <w:rFonts w:ascii="Times New Roman" w:hAnsi="Times New Roman"/>
                  <w:b w:val="false"/>
                  <w:i/>
                  <w:sz w:val="20"/>
                  <w:u w:val="single"/>
                </w:rPr>
                <w:t>Directors, Executive Officers and Corporate Governance</w:t>
              </w:r>
            </w:hyperlink>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119</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11.</w:t>
            </w:r>
          </w:p>
        </w:tc>
        <w:tc>
          <w:tcPr>
            <w:tcW w:w="8711" w:type="dxa"/>
            <w:tcBorders/>
            <w:shd w:fill="auto" w:val="clear"/>
            <w:vAlign w:val="center"/>
          </w:tcPr>
          <w:p>
            <w:pPr>
              <w:pStyle w:val="TableContents"/>
              <w:spacing w:lineRule="auto" w:line="252" w:before="0" w:after="0"/>
              <w:ind w:left="0" w:right="0" w:hanging="0"/>
              <w:jc w:val="left"/>
              <w:rPr/>
            </w:pPr>
            <w:hyperlink w:anchor="item_11_executive_compensation">
              <w:r>
                <w:rPr>
                  <w:rStyle w:val="InternetLink"/>
                  <w:rFonts w:ascii="Times New Roman" w:hAnsi="Times New Roman"/>
                  <w:b w:val="false"/>
                  <w:i/>
                  <w:sz w:val="20"/>
                  <w:u w:val="single"/>
                </w:rPr>
                <w:t>Executive Compensation</w:t>
              </w:r>
            </w:hyperlink>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119</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12.</w:t>
            </w:r>
          </w:p>
        </w:tc>
        <w:tc>
          <w:tcPr>
            <w:tcW w:w="8711" w:type="dxa"/>
            <w:tcBorders/>
            <w:shd w:fill="auto" w:val="clear"/>
            <w:vAlign w:val="center"/>
          </w:tcPr>
          <w:p>
            <w:pPr>
              <w:pStyle w:val="TableContents"/>
              <w:spacing w:lineRule="auto" w:line="252" w:before="0" w:after="0"/>
              <w:ind w:left="0" w:right="0" w:hanging="0"/>
              <w:jc w:val="left"/>
              <w:rPr/>
            </w:pPr>
            <w:hyperlink w:anchor="item_12_security_ownership_certain_benef">
              <w:r>
                <w:rPr>
                  <w:rStyle w:val="InternetLink"/>
                  <w:rFonts w:ascii="Times New Roman" w:hAnsi="Times New Roman"/>
                  <w:b w:val="false"/>
                  <w:i/>
                  <w:sz w:val="20"/>
                  <w:u w:val="single"/>
                </w:rPr>
                <w:t>Security Ownership of Certain Beneficial Owners and Management and Related Stockholder Matters</w:t>
              </w:r>
            </w:hyperlink>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119</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13.</w:t>
            </w:r>
          </w:p>
        </w:tc>
        <w:tc>
          <w:tcPr>
            <w:tcW w:w="8711" w:type="dxa"/>
            <w:tcBorders/>
            <w:shd w:fill="auto" w:val="clear"/>
            <w:vAlign w:val="center"/>
          </w:tcPr>
          <w:p>
            <w:pPr>
              <w:pStyle w:val="TableContents"/>
              <w:spacing w:lineRule="auto" w:line="252" w:before="0" w:after="0"/>
              <w:ind w:left="0" w:right="0" w:hanging="0"/>
              <w:jc w:val="left"/>
              <w:rPr/>
            </w:pPr>
            <w:hyperlink w:anchor="item_13_certain_relationships_related_tr">
              <w:r>
                <w:rPr>
                  <w:rStyle w:val="InternetLink"/>
                  <w:rFonts w:ascii="Times New Roman" w:hAnsi="Times New Roman"/>
                  <w:b w:val="false"/>
                  <w:i/>
                  <w:sz w:val="20"/>
                  <w:u w:val="single"/>
                </w:rPr>
                <w:t>Certain Relationships and Related Transactions, and Director Independence</w:t>
              </w:r>
            </w:hyperlink>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119</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14.</w:t>
            </w:r>
          </w:p>
        </w:tc>
        <w:tc>
          <w:tcPr>
            <w:tcW w:w="8711" w:type="dxa"/>
            <w:tcBorders/>
            <w:shd w:fill="auto" w:val="clear"/>
            <w:vAlign w:val="center"/>
          </w:tcPr>
          <w:p>
            <w:pPr>
              <w:pStyle w:val="TableContents"/>
              <w:spacing w:lineRule="auto" w:line="252" w:before="0" w:after="0"/>
              <w:ind w:left="0" w:right="0" w:hanging="0"/>
              <w:jc w:val="left"/>
              <w:rPr/>
            </w:pPr>
            <w:hyperlink w:anchor="item_14_principal_accounting_fees_servic">
              <w:r>
                <w:rPr>
                  <w:rStyle w:val="InternetLink"/>
                  <w:rFonts w:ascii="Times New Roman" w:hAnsi="Times New Roman"/>
                  <w:b w:val="false"/>
                  <w:i/>
                  <w:sz w:val="20"/>
                  <w:u w:val="single"/>
                </w:rPr>
                <w:t>Principal Accounting Fees and Services</w:t>
              </w:r>
            </w:hyperlink>
          </w:p>
        </w:tc>
        <w:tc>
          <w:tcPr>
            <w:tcW w:w="611" w:type="dxa"/>
            <w:tcBorders/>
            <w:shd w:fill="auto" w:val="clear"/>
            <w:vAlign w:val="center"/>
          </w:tcPr>
          <w:p>
            <w:pPr>
              <w:pStyle w:val="TableContents"/>
              <w:spacing w:lineRule="auto" w:line="252" w:before="0" w:after="0"/>
              <w:ind w:left="0" w:right="0" w:hanging="0"/>
              <w:jc w:val="right"/>
              <w:rPr>
                <w:rFonts w:ascii="Times New Roman" w:hAnsi="Times New Roman"/>
                <w:b w:val="false"/>
                <w:i/>
                <w:sz w:val="20"/>
              </w:rPr>
            </w:pPr>
            <w:r>
              <w:rPr>
                <w:rFonts w:ascii="Times New Roman" w:hAnsi="Times New Roman"/>
                <w:b w:val="false"/>
                <w:i/>
                <w:sz w:val="20"/>
              </w:rPr>
              <w:t>119</w:t>
            </w:r>
          </w:p>
        </w:tc>
      </w:tr>
      <w:tr>
        <w:trPr/>
        <w:tc>
          <w:tcPr>
            <w:tcW w:w="883" w:type="dxa"/>
            <w:tcBorders/>
            <w:shd w:fill="auto" w:val="clear"/>
            <w:vAlign w:val="center"/>
          </w:tcPr>
          <w:p>
            <w:pPr>
              <w:pStyle w:val="TableContents"/>
              <w:spacing w:lineRule="auto" w:line="252" w:before="0" w:after="0"/>
              <w:ind w:left="0" w:right="0" w:hanging="0"/>
              <w:jc w:val="left"/>
              <w:rPr/>
            </w:pPr>
            <w:r>
              <w:rPr/>
              <w:t> </w:t>
            </w:r>
          </w:p>
        </w:tc>
        <w:tc>
          <w:tcPr>
            <w:tcW w:w="8711"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883" w:type="dxa"/>
            <w:tcBorders/>
            <w:shd w:fill="auto" w:val="clear"/>
            <w:vAlign w:val="center"/>
          </w:tcPr>
          <w:p>
            <w:pPr>
              <w:pStyle w:val="TableContents"/>
              <w:spacing w:lineRule="auto" w:line="252" w:before="0" w:after="0"/>
              <w:ind w:left="0" w:right="0" w:hanging="0"/>
              <w:jc w:val="left"/>
              <w:rPr/>
            </w:pPr>
            <w:hyperlink w:anchor="part_iv">
              <w:r>
                <w:rPr>
                  <w:rStyle w:val="InternetLink"/>
                  <w:rFonts w:ascii="Times New Roman" w:hAnsi="Times New Roman"/>
                  <w:b/>
                  <w:i/>
                  <w:sz w:val="20"/>
                  <w:u w:val="single"/>
                </w:rPr>
                <w:t>PART IV</w:t>
              </w:r>
            </w:hyperlink>
          </w:p>
        </w:tc>
        <w:tc>
          <w:tcPr>
            <w:tcW w:w="8711" w:type="dxa"/>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120</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15.</w:t>
            </w:r>
          </w:p>
        </w:tc>
        <w:tc>
          <w:tcPr>
            <w:tcW w:w="8711" w:type="dxa"/>
            <w:tcBorders/>
            <w:shd w:fill="auto" w:val="clear"/>
            <w:vAlign w:val="center"/>
          </w:tcPr>
          <w:p>
            <w:pPr>
              <w:pStyle w:val="TableContents"/>
              <w:spacing w:lineRule="auto" w:line="252" w:before="0" w:after="0"/>
              <w:ind w:left="0" w:right="0" w:hanging="0"/>
              <w:jc w:val="left"/>
              <w:rPr/>
            </w:pPr>
            <w:hyperlink w:anchor="item_15_exhibits_financial_statement_sch">
              <w:r>
                <w:rPr>
                  <w:rStyle w:val="InternetLink"/>
                  <w:rFonts w:ascii="Times New Roman" w:hAnsi="Times New Roman"/>
                  <w:b w:val="false"/>
                  <w:i/>
                  <w:sz w:val="20"/>
                  <w:u w:val="single"/>
                </w:rPr>
                <w:t>Exhibits, Financial Statement Schedules</w:t>
              </w:r>
            </w:hyperlink>
          </w:p>
        </w:tc>
        <w:tc>
          <w:tcPr>
            <w:tcW w:w="611" w:type="dxa"/>
            <w:tcBorders/>
            <w:shd w:fill="auto" w:val="clear"/>
            <w:vAlign w:val="center"/>
          </w:tcPr>
          <w:p>
            <w:pPr>
              <w:pStyle w:val="TableContents"/>
              <w:spacing w:lineRule="auto" w:line="252" w:before="0" w:after="0"/>
              <w:ind w:left="0" w:right="0" w:firstLine="144"/>
              <w:jc w:val="right"/>
              <w:rPr>
                <w:rFonts w:ascii="Times New Roman" w:hAnsi="Times New Roman"/>
                <w:b w:val="false"/>
                <w:i/>
                <w:sz w:val="20"/>
              </w:rPr>
            </w:pPr>
            <w:r>
              <w:rPr>
                <w:rFonts w:ascii="Times New Roman" w:hAnsi="Times New Roman"/>
                <w:b w:val="false"/>
                <w:i/>
                <w:sz w:val="20"/>
              </w:rPr>
              <w:t>120</w:t>
            </w:r>
          </w:p>
        </w:tc>
      </w:tr>
      <w:tr>
        <w:trPr/>
        <w:tc>
          <w:tcPr>
            <w:tcW w:w="883" w:type="dxa"/>
            <w:tcBorders/>
            <w:shd w:fill="auto" w:val="clear"/>
            <w:vAlign w:val="center"/>
          </w:tcPr>
          <w:p>
            <w:pPr>
              <w:pStyle w:val="TableContents"/>
              <w:spacing w:lineRule="auto" w:line="252" w:before="0" w:after="0"/>
              <w:ind w:left="144" w:right="0" w:hanging="0"/>
              <w:jc w:val="left"/>
              <w:rPr>
                <w:rFonts w:ascii="Times New Roman" w:hAnsi="Times New Roman"/>
                <w:b w:val="false"/>
                <w:i/>
                <w:sz w:val="20"/>
              </w:rPr>
            </w:pPr>
            <w:r>
              <w:rPr>
                <w:rFonts w:ascii="Times New Roman" w:hAnsi="Times New Roman"/>
                <w:b w:val="false"/>
                <w:i/>
                <w:sz w:val="20"/>
              </w:rPr>
              <w:t>Item 16.</w:t>
            </w:r>
          </w:p>
        </w:tc>
        <w:tc>
          <w:tcPr>
            <w:tcW w:w="8711" w:type="dxa"/>
            <w:tcBorders/>
            <w:shd w:fill="auto" w:val="clear"/>
            <w:vAlign w:val="center"/>
          </w:tcPr>
          <w:p>
            <w:pPr>
              <w:pStyle w:val="TableContents"/>
              <w:spacing w:lineRule="auto" w:line="252" w:before="0" w:after="0"/>
              <w:ind w:left="0" w:right="0" w:hanging="0"/>
              <w:jc w:val="left"/>
              <w:rPr/>
            </w:pPr>
            <w:hyperlink w:anchor="item_16_form_10k_summary">
              <w:r>
                <w:rPr>
                  <w:rStyle w:val="InternetLink"/>
                  <w:rFonts w:ascii="Times New Roman" w:hAnsi="Times New Roman"/>
                  <w:b w:val="false"/>
                  <w:i/>
                  <w:sz w:val="20"/>
                  <w:u w:val="single"/>
                </w:rPr>
                <w:t>Form 10-K Summary</w:t>
              </w:r>
            </w:hyperlink>
          </w:p>
        </w:tc>
        <w:tc>
          <w:tcPr>
            <w:tcW w:w="611" w:type="dxa"/>
            <w:tcBorders/>
            <w:shd w:fill="auto" w:val="clear"/>
            <w:vAlign w:val="center"/>
          </w:tcPr>
          <w:p>
            <w:pPr>
              <w:pStyle w:val="TableContents"/>
              <w:spacing w:lineRule="auto" w:line="252" w:before="0" w:after="0"/>
              <w:ind w:left="0" w:right="0" w:hanging="0"/>
              <w:jc w:val="right"/>
              <w:rPr>
                <w:rFonts w:ascii="Times New Roman" w:hAnsi="Times New Roman"/>
                <w:b w:val="false"/>
                <w:i/>
                <w:sz w:val="20"/>
              </w:rPr>
            </w:pPr>
            <w:r>
              <w:rPr>
                <w:rFonts w:ascii="Times New Roman" w:hAnsi="Times New Roman"/>
                <w:b w:val="false"/>
                <w:i/>
                <w:sz w:val="20"/>
              </w:rPr>
              <w:t>123</w:t>
            </w:r>
          </w:p>
        </w:tc>
      </w:tr>
      <w:tr>
        <w:trPr/>
        <w:tc>
          <w:tcPr>
            <w:tcW w:w="883" w:type="dxa"/>
            <w:tcBorders/>
            <w:shd w:fill="auto" w:val="clear"/>
            <w:vAlign w:val="center"/>
          </w:tcPr>
          <w:p>
            <w:pPr>
              <w:pStyle w:val="TableContents"/>
              <w:spacing w:lineRule="auto" w:line="252" w:before="0" w:after="0"/>
              <w:ind w:left="0" w:right="0" w:hanging="0"/>
              <w:jc w:val="left"/>
              <w:rPr/>
            </w:pPr>
            <w:r>
              <w:rPr/>
              <w:t> </w:t>
            </w:r>
          </w:p>
        </w:tc>
        <w:tc>
          <w:tcPr>
            <w:tcW w:w="8711" w:type="dxa"/>
            <w:tcBorders/>
            <w:shd w:fill="auto" w:val="cle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i/>
                  <w:sz w:val="20"/>
                  <w:u w:val="single"/>
                </w:rPr>
                <w:t>Signatures</w:t>
              </w:r>
            </w:hyperlink>
          </w:p>
        </w:tc>
        <w:tc>
          <w:tcPr>
            <w:tcW w:w="611" w:type="dxa"/>
            <w:tcBorders/>
            <w:shd w:fill="auto" w:val="clear"/>
            <w:vAlign w:val="center"/>
          </w:tcPr>
          <w:p>
            <w:pPr>
              <w:pStyle w:val="TableContents"/>
              <w:spacing w:lineRule="auto" w:line="252" w:before="0" w:after="0"/>
              <w:ind w:left="0" w:right="0" w:hanging="0"/>
              <w:jc w:val="right"/>
              <w:rPr>
                <w:rFonts w:ascii="Times New Roman" w:hAnsi="Times New Roman"/>
                <w:b w:val="false"/>
                <w:i/>
                <w:sz w:val="20"/>
              </w:rPr>
            </w:pPr>
            <w:r>
              <w:rPr>
                <w:rFonts w:ascii="Times New Roman" w:hAnsi="Times New Roman"/>
                <w:b w:val="false"/>
                <w:i/>
                <w:sz w:val="20"/>
              </w:rPr>
              <w:t>124</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w:t>
      </w:r>
    </w:p>
    <w:p>
      <w:pPr>
        <w:pStyle w:val="HorizontalLine"/>
        <w:rPr/>
      </w:pPr>
      <w:r>
        <w:rPr/>
      </w:r>
    </w:p>
    <w:p>
      <w:pPr>
        <w:pStyle w:val="TextBody"/>
        <w:spacing w:lineRule="auto" w:line="273" w:before="0" w:after="0"/>
        <w:jc w:val="center"/>
        <w:rPr>
          <w:rFonts w:ascii="Times New Roman" w:hAnsi="Times New Roman"/>
          <w:b/>
          <w:sz w:val="20"/>
        </w:rPr>
      </w:pPr>
      <w:r>
        <w:rPr>
          <w:rFonts w:ascii="Times New Roman" w:hAnsi="Times New Roman"/>
          <w:b/>
          <w:sz w:val="20"/>
        </w:rPr>
        <w:t>SPECIAL NOTE REGARDING FORWARD-LOOKING STATEMENTS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spacing w:lineRule="auto" w:line="273" w:before="200" w:after="0"/>
        <w:jc w:val="left"/>
        <w:rPr>
          <w:rFonts w:ascii="Times New Roman" w:hAnsi="Times New Roman"/>
          <w:sz w:val="20"/>
        </w:rPr>
      </w:pPr>
      <w:r>
        <w:rPr>
          <w:rFonts w:ascii="Times New Roman" w:hAnsi="Times New Roman"/>
          <w:b w:val="false"/>
          <w:sz w:val="20"/>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scope, progress, results and costs of developing our product candidates or any other future product candidates, and conducting preclinical studies and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scope, progress, results and costs related to the research and development of our pipeline;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of and costs involved in obtaining and maintaining regulatory approval for any of current or future product candidates, and any related restrictions, limitations and/or warnings in the label of an approved product candidate;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expectations regarding the potential market size and size of the potential patient populations for our product candidates and any future product candidates, if approved for commercial use;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maintain existing and establish new collaborations, licensing or other arrangements and the financial terms of any such agreements, including our collaboration with Sanofi;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commercialization, marketing and manufacturing capabilities and expectations;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rate and degree of market acceptance of our product candidates, as well as the pricing and reimbursement of our product candidates, if approved;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implementation of our business model and strategic plans for our business, product candidates and technology, including additional indications for which we may pursue;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scope of protection we are able to establish and maintain for intellectual property rights covering our product candidates, including the projected term of patent protection;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estimates of our expenses, future revenue, capital requirements, our needs for additional financing and our ability to obtain additional capital;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developments and projections relating to our competitors and our industry, including competing therapies and procedures;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regulatory and legal developments in the United States and foreign countries;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performance of our third-party suppliers and manufacturers;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attract and retain key scientific or management personnel;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expectations regarding our ability to obtain, maintain, enforce and defend our intellectual property protection for our product candidates;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other risks and uncertainties, including those listed under the caption “Risk Factors.”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w:t>
      </w:r>
    </w:p>
    <w:p>
      <w:pPr>
        <w:pStyle w:val="HorizontalLine"/>
        <w:rPr/>
      </w:pPr>
      <w:r>
        <w:rPr/>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We have based these forward-looking statements largely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on Form 10-K, whether as a result of any new information, future events or otherwise.</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Investors and others should note that we may announce material business and financial information to our investors using our investor relations website (https://ir.revmed.com), Securities and Exchange Commission (SEC) filings, webcasts, press releases and conference calls. We use these mediums, including our website, to communicate with our members and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pStyle w:val="TextBody"/>
        <w:spacing w:lineRule="auto" w:line="273" w:before="240" w:after="0"/>
        <w:jc w:val="center"/>
        <w:rPr>
          <w:rFonts w:ascii="Times New Roman" w:hAnsi="Times New Roman"/>
          <w:b/>
          <w:sz w:val="20"/>
        </w:rPr>
      </w:pPr>
      <w:r>
        <w:rPr>
          <w:rFonts w:ascii="Times New Roman" w:hAnsi="Times New Roman"/>
          <w:b/>
          <w:sz w:val="20"/>
        </w:rPr>
        <w:t>Summary of Material Risks Associated with Our Business</w:t>
      </w:r>
    </w:p>
    <w:p>
      <w:pPr>
        <w:pStyle w:val="TextBody"/>
        <w:spacing w:lineRule="auto" w:line="273" w:before="240" w:after="0"/>
        <w:jc w:val="left"/>
        <w:rPr>
          <w:rFonts w:ascii="Times New Roman" w:hAnsi="Times New Roman"/>
          <w:sz w:val="20"/>
        </w:rPr>
      </w:pPr>
      <w:r>
        <w:rPr>
          <w:rFonts w:ascii="Times New Roman" w:hAnsi="Times New Roman"/>
          <w:b w:val="false"/>
          <w:sz w:val="20"/>
        </w:rPr>
        <w:t>The principal risks and uncertainties affecting our business include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COVID-19 pandemic, or other epidemic and pandemic diseases or governmental or other actions taken in response to them, could significantly disrupt our business.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have never generated revenue from product sales and may never be profitable.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Historically, direct inhibition of any RAS protein has been challenging due to a lack of tractable, or “druggable,” binding pockets and we are not aware of any programs in clinical development that have successfully targeted any RAS(ON) protein. Given this approach is unproven, it may not be successful.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results of preclinical studies and early-stage clinical trials may not be predictive of future results.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If we encounter difficulties enrolling patients in our clinical trials, our clinical development activities could be delayed or otherwise be adversely affected.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are currently developing and may in the future develop our product candidates in combination with other therapies, which exposes us to additional risks.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face significant competition, and if our competitors develop and market products that are more effective, safer or less expensive than the product candidates we develop, our commercial opportunities will be negatively impacted.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2" w:name="part_i_1"/>
      <w:bookmarkEnd w:id="2"/>
      <w:r>
        <w:rPr>
          <w:rFonts w:ascii="Times New Roman" w:hAnsi="Times New Roman"/>
          <w:b/>
          <w:sz w:val="20"/>
        </w:rPr>
        <w:t>PART I</w:t>
      </w:r>
      <w:bookmarkStart w:id="3" w:name="part_1"/>
      <w:bookmarkEnd w:id="3"/>
    </w:p>
    <w:p>
      <w:pPr>
        <w:pStyle w:val="TextBody"/>
        <w:spacing w:lineRule="auto" w:line="273" w:before="240" w:after="0"/>
        <w:jc w:val="left"/>
        <w:rPr>
          <w:rFonts w:ascii="Times New Roman" w:hAnsi="Times New Roman"/>
          <w:sz w:val="20"/>
        </w:rPr>
      </w:pPr>
      <w:bookmarkStart w:id="4" w:name="item_1_business"/>
      <w:bookmarkEnd w:id="4"/>
      <w:r>
        <w:rPr>
          <w:rFonts w:ascii="Times New Roman" w:hAnsi="Times New Roman"/>
          <w:b/>
          <w:sz w:val="20"/>
        </w:rPr>
        <w:t>Item 1. Business.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are a clinical-stage precision oncology company focused on developing targeted therapies to inhibit frontier targets in RAS-addicted cancers. We possess sophisticated structure-based drug discovery capabilities built upon deep chemical biology and cancer pharmacology know-how and innovative, proprietary technologies that enable the creation of small molecules tailored to unconventional binding sites. Our understanding of genetic drivers and adaptive resistance mechanisms in cancer, coupled with robust drug discovery and medicinal chemistry capabilities, has guided us to establish a deep pipeline targeting critical signaling nodes within the RAS pathway and associated pathways. This cohesive approach underpins our clinical strategy of exploring mechanism-based dosing paradigms and in-pathway combinations to optimize treatment for cancer patients.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Our research and development pipeline comprises RAS(ON) inhibitors that bind directly to RAS variants, which we refer to as RAS(ON) Inhibitors, and RAS companion inhibitors that target key nodes in the RAS pathway or associated pathways, which we refer to as RAS Companion Inhibitors. Our RAS Companion Inhibitors (e.g., SHP2, mTORC1 and SOS1 inhibitors) are designed primarily for combination treatment strategies involving one or more therapeutic agents, which may include our RAS(ON) Inhibitors. Our long-term goal is to combine selected RAS Companion Inhibitors with RAS(ON) Inhibitors on behalf of patients based on molecular tumor features.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RAS (ON) Inhibitors</w:t>
      </w:r>
    </w:p>
    <w:p>
      <w:pPr>
        <w:pStyle w:val="TextBody"/>
        <w:spacing w:lineRule="auto" w:line="273" w:before="200" w:after="0"/>
        <w:jc w:val="left"/>
        <w:rPr>
          <w:rFonts w:ascii="Times New Roman" w:hAnsi="Times New Roman"/>
          <w:sz w:val="20"/>
        </w:rPr>
      </w:pPr>
      <w:r>
        <w:rPr>
          <w:rFonts w:ascii="Times New Roman" w:hAnsi="Times New Roman"/>
          <w:b w:val="false"/>
          <w:sz w:val="20"/>
        </w:rPr>
        <w:t>Our RAS(ON) Inhibitors are based on our proprietary tri-complex technology platform, which enables a highly differentiated approach to inhibiting the active, GTP-bound form of RAS, which we refer to as RAS(ON). We are developing a portfolio of compounds that we believe are the first and only RAS(ON) inhibitors to use this mechanism of action. We currently have four RAS(ON) Inhibitors in the IND-enabling stage of preclinical development: RMC-6236, our inhibitor of multiple RAS variants, which we refer to as RAS</w:t>
      </w:r>
      <w:r>
        <w:rPr>
          <w:rFonts w:ascii="Times New Roman" w:hAnsi="Times New Roman"/>
          <w:b w:val="false"/>
          <w:sz w:val="13"/>
        </w:rPr>
        <w:t>MULTI</w:t>
      </w:r>
      <w:r>
        <w:rPr>
          <w:rFonts w:ascii="Times New Roman" w:hAnsi="Times New Roman"/>
          <w:b w:val="false"/>
          <w:sz w:val="20"/>
        </w:rPr>
        <w:t>(ON), RMC-6291, our inhibitor targeting KRAS</w:t>
      </w:r>
      <w:r>
        <w:rPr>
          <w:rFonts w:ascii="Times New Roman" w:hAnsi="Times New Roman"/>
          <w:b w:val="false"/>
          <w:sz w:val="13"/>
        </w:rPr>
        <w:t>G12C</w:t>
      </w:r>
      <w:r>
        <w:rPr>
          <w:rFonts w:ascii="Times New Roman" w:hAnsi="Times New Roman"/>
          <w:b w:val="false"/>
          <w:sz w:val="20"/>
        </w:rPr>
        <w:t>(ON), RMC-9805, our inhibitor targeting KRAS</w:t>
      </w:r>
      <w:r>
        <w:rPr>
          <w:rFonts w:ascii="Times New Roman" w:hAnsi="Times New Roman"/>
          <w:b w:val="false"/>
          <w:sz w:val="13"/>
        </w:rPr>
        <w:t>G12D</w:t>
      </w:r>
      <w:r>
        <w:rPr>
          <w:rFonts w:ascii="Times New Roman" w:hAnsi="Times New Roman"/>
          <w:b w:val="false"/>
          <w:sz w:val="20"/>
        </w:rPr>
        <w:t>(ON) and RMC-8839, our inhibitor targeting KRAS</w:t>
      </w:r>
      <w:r>
        <w:rPr>
          <w:rFonts w:ascii="Times New Roman" w:hAnsi="Times New Roman"/>
          <w:b w:val="false"/>
          <w:sz w:val="13"/>
        </w:rPr>
        <w:t>G13C</w:t>
      </w:r>
      <w:r>
        <w:rPr>
          <w:rFonts w:ascii="Times New Roman" w:hAnsi="Times New Roman"/>
          <w:b w:val="false"/>
          <w:sz w:val="20"/>
        </w:rPr>
        <w:t>(ON). We currently plan to submit an Investigational New Drug Application (IND) for RMC-6236 in the first half of 2022 and to provide evidence of first-in-class single agent activity for this compound in 2023. We currently plan to submit an IND for RMC-6291 in the first half of 2022 and to provide preliminary evidence of superior activity for this compound in 2023. We currently plan to submit an IND for RMC-9805 in the first half of 2023 and to submit an IND for RMC-8839 in the second half of 2023. In addition to the compounds currently in development, we are also focused on developing additional mutant-selective inhibitors.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RAS Companion Inhibitors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RMC-4630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RAS Companion Inhibitor RMC-4630 is designed as a potent and selective inhibitor of SHP2, a central node in the RAS signaling pathway. In collaboration with Sanofi, we are evaluating RMC-4630 in a multi-cohort Phase 1/2 clinical program.</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highest priority hypothesis regarding RMC-4630 is that it can deliver additional clinical benefit to patients with RAS-addicted tumors treated with a RAS inhibitor. Below is a list of the active or planned clinical studies of RMC-4630 in combination with RAS inhibitors: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w:t>
      </w:r>
    </w:p>
    <w:p>
      <w:pPr>
        <w:pStyle w:val="TextBody"/>
        <w:spacing w:lineRule="auto" w:line="273" w:before="0" w:after="0"/>
        <w:jc w:val="left"/>
        <w:rPr/>
      </w:pPr>
      <w:r>
        <w:rPr>
          <w:rFonts w:ascii="Times New Roman" w:hAnsi="Times New Roman"/>
          <w:b w:val="false"/>
          <w:sz w:val="20"/>
        </w:rPr>
        <w:t>an active Amgen-sponsored Phase 1b study of RMC-4630 in combination with Amgen’s KRAS</w:t>
      </w:r>
      <w:r>
        <w:rPr>
          <w:rFonts w:ascii="Times New Roman" w:hAnsi="Times New Roman"/>
          <w:b w:val="false"/>
          <w:sz w:val="13"/>
        </w:rPr>
        <w:t>G12C</w:t>
      </w:r>
      <w:r>
        <w:rPr>
          <w:rFonts w:ascii="Times New Roman" w:hAnsi="Times New Roman"/>
          <w:b w:val="false"/>
          <w:sz w:val="20"/>
        </w:rPr>
        <w:t>(OFF) inhibitor, sotorasib (Lumakras</w:t>
      </w:r>
      <w:r>
        <w:rPr>
          <w:rFonts w:ascii="Times New Roman" w:hAnsi="Times New Roman"/>
          <w:b w:val="false"/>
          <w:sz w:val="13"/>
        </w:rPr>
        <w:t>TM</w:t>
      </w:r>
      <w:r>
        <w:rPr>
          <w:rFonts w:ascii="Times New Roman" w:hAnsi="Times New Roman"/>
          <w:b w:val="false"/>
          <w:sz w:val="20"/>
        </w:rPr>
        <w: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RMC-4630-03, an active Phase 2 study of RMC-4630 in combination with sotorasib that we are sponsoring under a clinical trial collaboration and supply agreement with Amgen under our global partnership with Sanofi; and </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sz w:val="20"/>
        </w:rPr>
        <w:t>the planned Sanofi-sponsored Phase 1/2 study of RMC-4630 in combination with Mirati Therapeutics’ KRAS</w:t>
      </w:r>
      <w:r>
        <w:rPr>
          <w:rFonts w:ascii="Times New Roman" w:hAnsi="Times New Roman"/>
          <w:b w:val="false"/>
          <w:sz w:val="13"/>
        </w:rPr>
        <w:t>G12C</w:t>
      </w:r>
      <w:r>
        <w:rPr>
          <w:rFonts w:ascii="Times New Roman" w:hAnsi="Times New Roman"/>
          <w:b w:val="false"/>
          <w:sz w:val="20"/>
        </w:rPr>
        <w:t>(OFF) inhibitor, adagrasib.</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Amgen is currently evaluating RMC-4630 in an active Phase 1b study in combination with Amgen’s KRAS</w:t>
      </w:r>
      <w:r>
        <w:rPr>
          <w:rFonts w:ascii="Times New Roman" w:hAnsi="Times New Roman"/>
          <w:b w:val="false"/>
          <w:sz w:val="13"/>
        </w:rPr>
        <w:t>G12C</w:t>
      </w:r>
      <w:r>
        <w:rPr>
          <w:rFonts w:ascii="Times New Roman" w:hAnsi="Times New Roman"/>
          <w:b w:val="false"/>
          <w:sz w:val="20"/>
        </w:rPr>
        <w:t>(OFF) agent sotorasib in Amgen’s CodeBreaK 101c study.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a complement to the CodeBreaK 101c study, we are sponsoring RMC-4630-03, which is an additional global Phase 2 study of RMC-4630 in combination with sotorasib for patients with non-small cell lung cancer (NSCLC) carrying a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mutation who have failed prior standard therapy and who have not previously been treated with a RAS inhibitor. The first patient in RMC-4630-03</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has been dosed and enrollment is ongoing. We are sponsoring the RMC-4630-03 study under our global partnership with Sanofi and conducting the trial in collaboration with Amgen, which is supplying sotorasib globally under a clinical collaboration and supply agreement. We expect to complete enrollment in RMC-4630-03 in the second half of 2022, to provide preliminary evidence of the clinical benefit of RMC-4630 as a RAS Companion Inhibitor from the RMC-4630-03 study in the second half of 2022 and to provide additional evidence of the clinical benefit of this compound from this study in 2023.</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Sanofi plans to sponsor a combination study under our 2018 collaborative research, development and commercialization agreement with Aventis, Inc. (an affiliate of Sanofi) (the Sanofi Agreement) and under a clinical trial collaboration and supply agreement between Sanofi and Mirati to evaluate RMC-4630 (also known as SAR442720) in combination with Mirati’s KRAS</w:t>
      </w:r>
      <w:r>
        <w:rPr>
          <w:rFonts w:ascii="Times New Roman" w:hAnsi="Times New Roman"/>
          <w:b w:val="false"/>
          <w:sz w:val="13"/>
        </w:rPr>
        <w:t>G12C</w:t>
      </w:r>
      <w:r>
        <w:rPr>
          <w:rFonts w:ascii="Times New Roman" w:hAnsi="Times New Roman"/>
          <w:b w:val="false"/>
          <w:sz w:val="20"/>
        </w:rPr>
        <w:t>(OFF) inhibitor, adagrasib.</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are also several active or planned clinical studies of RMC-4630 that do not involve combinations with RAS inhibitors and which are listed and discussed in more detail below in the “Pipeline” section:</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RMC-4630-01, an active Phase 1 study of RMC-4630 as monotherapy;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 Sanofi-sponsored active Phase 1/2 study of RMC-4630 in combination with the PD-1 inhibitor pembrolizumab (Keytruda®);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 combination of RMC-4630 with an ERK inhibitor in patients with pancreatic cancer as part of an investigator sponsored study planned by Netherlands Cancer Institute.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RMC-5552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RAS Companion Inhibitor RMC-5552 is designed as a selective inhibitor of hyperactivated mTORC1 signaling in tumors. We are evaluating RMC-5552 first as a monotherapy in a Phase 1 study (RMC-5552-01), and plan to evaluate RMC-5552 in combination with RAS inhibitors for patients with cancers harboring a RAS mutation and co-occurring mutations in the mTOR signaling pathway.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January 2022, we reported initial findings from the ongoing dose escalation portion of the RMC-5552-01 study, including preliminary evidence of clinical activity against advanced tumors with mutations associated with hyperactive mTORC1 signaling. As of January 7, 2022, all four efficacy evaluable patients treated with 6 mg per week experienced disease control, including one patient with a confirmed partial response with a 63% reduction from baseline and the other three with stable disease. We currently expect to provide additional evidence of single agent activity for this compound in 2023.</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RMC-5845</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RAS Companion Inhibitor RMC-5845 targets SOS1, a protein that plays a key role in converting RAS(OFF) to RAS(ON) in cells. RMC-5845 is intended for select combination therapies for certain genetically-defined tumors. This compound is ready for preparation of an IND based on the Company’s preclinical development. We continue evaluating the scientific rationale for advancing RMC-5845 into clinical development in the context of other assets in our portfolio.</w:t>
      </w:r>
    </w:p>
    <w:p>
      <w:pPr>
        <w:pStyle w:val="TextBody"/>
        <w:spacing w:lineRule="auto" w:line="273" w:before="200" w:after="0"/>
        <w:jc w:val="left"/>
        <w:rPr>
          <w:rFonts w:ascii="Times New Roman" w:hAnsi="Times New Roman"/>
          <w:sz w:val="20"/>
        </w:rPr>
      </w:pPr>
      <w:r>
        <w:rPr>
          <w:rFonts w:ascii="Times New Roman" w:hAnsi="Times New Roman"/>
          <w:b/>
          <w:sz w:val="20"/>
        </w:rPr>
        <w:t>Our strategy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Our goal is to develop novel targeted therapies to outsmart RAS-addicted cancers for the benefit of patients. RAS proteins drive 30% of human cancers (Prior et al, Cancer Research 2020), and are largely unserved by targeted therapeutics. The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mutation has been clinically validated as a therapeutic target, and the evidence is strong that numerous other oncogenic mutations in the RAS family of proteins are likewise compelling cancer targets. Our collection of RAS(ON) Inhibitors designed to have best-in-class preclinical profiles and/or first-in-class potential is tailored to target RAS cancer mutations that together comprise the vast majority of RAS-addicted cancers.</w:t>
        <w:br/>
        <w:br/>
        <w:t>Data from the ongoing development of first-generation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inhibitors have clearly demonstrated that selective targeting of RAS cancer drivers is often insufficient to confer deep and durable clinical benefit, as RAS cancers are also supported and maintained by other cellular proteins we call RAS cooperating targets and pathways. We believe it is important to match our treatment strategies to this biological cooperativity by developing RAS(ON) Inhibitors to suppress the primary RAS drivers and RAS Companion Inhibitors to suppress the cooperating proteins. We expect drugs of these two types may be combined to form the optimal therapeutic regimens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capable of delivering maximal clinical benefit. To develop these optimal therapies for RAS cancers, we plan to pursue the following strategies: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RAS(ON) Inhibitors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 xml:space="preserve"> </w:t>
      </w:r>
      <w:r>
        <w:rPr>
          <w:rFonts w:ascii="Times New Roman" w:hAnsi="Times New Roman"/>
          <w:b/>
          <w:i/>
          <w:sz w:val="20"/>
        </w:rPr>
        <w:t xml:space="preserve">Establish tri-complex inhibition of RAS(ON) as a first-in-class therapeutic modality. </w:t>
      </w:r>
      <w:r>
        <w:rPr>
          <w:rFonts w:ascii="Times New Roman" w:hAnsi="Times New Roman"/>
          <w:b w:val="false"/>
          <w:sz w:val="20"/>
        </w:rPr>
        <w:t>There are dozens of RAS variants that have been implicated as molecular drivers of cancer. We are developing a portfolio of small molecules designed to target multiple oncogenic forms of RAS(ON) that are derived from our proprietary tri-complex technology platform. We believe that targeted inhibition of oncogenic RAS(ON) variants represents a highly differentiated approach for treating the large population of patients with diverse RAS mutations, including non-small cell lung cancer, or NSCLC, colorectal, pancreatic and other cancers.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Initially, we intend to advance our first two RAS(ON) development candidates into clinical development: RMC-6236, a RAS-selective inhibitor of multiple RAS(ON) variants and RMC-6291, a mutant-selective inhibitor of KRAS</w:t>
      </w:r>
      <w:r>
        <w:rPr>
          <w:rFonts w:ascii="Times New Roman" w:hAnsi="Times New Roman"/>
          <w:b w:val="false"/>
          <w:sz w:val="13"/>
        </w:rPr>
        <w:t>G12C</w:t>
      </w:r>
      <w:r>
        <w:rPr>
          <w:rFonts w:ascii="Times New Roman" w:hAnsi="Times New Roman"/>
          <w:b w:val="false"/>
          <w:sz w:val="20"/>
        </w:rPr>
        <w:t>(ON). We are also conducting IND-enabling studies of RMC-9805, our inhibitor targeting KRAS</w:t>
      </w:r>
      <w:r>
        <w:rPr>
          <w:rFonts w:ascii="Times New Roman" w:hAnsi="Times New Roman"/>
          <w:b w:val="false"/>
          <w:sz w:val="13"/>
        </w:rPr>
        <w:t>G12D</w:t>
      </w:r>
      <w:r>
        <w:rPr>
          <w:rFonts w:ascii="Times New Roman" w:hAnsi="Times New Roman"/>
          <w:b w:val="false"/>
          <w:sz w:val="20"/>
        </w:rPr>
        <w:t>(ON) and RMC-8839, our inhibitor targeting KRAS</w:t>
      </w:r>
      <w:r>
        <w:rPr>
          <w:rFonts w:ascii="Times New Roman" w:hAnsi="Times New Roman"/>
          <w:b w:val="false"/>
          <w:sz w:val="13"/>
        </w:rPr>
        <w:t>G13C</w:t>
      </w:r>
      <w:r>
        <w:rPr>
          <w:rFonts w:ascii="Times New Roman" w:hAnsi="Times New Roman"/>
          <w:b w:val="false"/>
          <w:sz w:val="20"/>
        </w:rPr>
        <w:t>(ON). We may evaluate our RAS(ON) development candidates both as monotherapies and/or in combination with other drugs and investigational new drugs, particularly our RAS Companion Inhibitors and immunotherapies.</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 </w:t>
      </w:r>
      <w:r>
        <w:rPr>
          <w:rFonts w:ascii="Times New Roman" w:hAnsi="Times New Roman"/>
          <w:b/>
          <w:i/>
          <w:sz w:val="20"/>
        </w:rPr>
        <w:t>Deploy our innovation engine against additional frontier targets.</w:t>
      </w:r>
      <w:r>
        <w:rPr>
          <w:rFonts w:ascii="Times New Roman" w:hAnsi="Times New Roman"/>
          <w:sz w:val="20"/>
        </w:rPr>
        <w:t xml:space="preserve"> </w:t>
      </w:r>
      <w:r>
        <w:rPr>
          <w:rFonts w:ascii="Times New Roman" w:hAnsi="Times New Roman"/>
          <w:b w:val="false"/>
          <w:sz w:val="20"/>
        </w:rPr>
        <w:t>In parallel with the IND-enabling development of our RAS(ON) development candidates, we are focusing on optimization of mutant-selective tri-complex inhibitors of additional targets, including KRAS</w:t>
      </w:r>
      <w:r>
        <w:rPr>
          <w:rFonts w:ascii="Times New Roman" w:hAnsi="Times New Roman"/>
          <w:b w:val="false"/>
          <w:sz w:val="13"/>
        </w:rPr>
        <w:t>G12R</w:t>
      </w:r>
      <w:r>
        <w:rPr>
          <w:rFonts w:ascii="Times New Roman" w:hAnsi="Times New Roman"/>
          <w:b w:val="false"/>
          <w:sz w:val="20"/>
        </w:rPr>
        <w:t>, KRAS</w:t>
      </w:r>
      <w:r>
        <w:rPr>
          <w:rFonts w:ascii="Times New Roman" w:hAnsi="Times New Roman"/>
          <w:b w:val="false"/>
          <w:sz w:val="13"/>
        </w:rPr>
        <w:t>G12V</w:t>
      </w:r>
      <w:r>
        <w:rPr>
          <w:rFonts w:ascii="Times New Roman" w:hAnsi="Times New Roman"/>
          <w:b w:val="false"/>
          <w:sz w:val="20"/>
        </w:rPr>
        <w:t>, KRAS</w:t>
      </w:r>
      <w:r>
        <w:rPr>
          <w:rFonts w:ascii="Times New Roman" w:hAnsi="Times New Roman"/>
          <w:b w:val="false"/>
          <w:sz w:val="13"/>
        </w:rPr>
        <w:t>G13D</w:t>
      </w:r>
      <w:r>
        <w:rPr>
          <w:rFonts w:ascii="Times New Roman" w:hAnsi="Times New Roman"/>
          <w:sz w:val="20"/>
        </w:rPr>
        <w:t xml:space="preserve"> </w:t>
      </w:r>
      <w:r>
        <w:rPr>
          <w:rFonts w:ascii="Times New Roman" w:hAnsi="Times New Roman"/>
          <w:b w:val="false"/>
          <w:sz w:val="20"/>
        </w:rPr>
        <w:t>and RAS</w:t>
      </w:r>
      <w:r>
        <w:rPr>
          <w:rFonts w:ascii="Times New Roman" w:hAnsi="Times New Roman"/>
          <w:b w:val="false"/>
          <w:sz w:val="13"/>
        </w:rPr>
        <w:t>Q61X</w:t>
      </w:r>
      <w:r>
        <w:rPr>
          <w:rFonts w:ascii="Times New Roman" w:hAnsi="Times New Roman"/>
          <w:b w:val="false"/>
          <w:sz w:val="20"/>
        </w:rPr>
        <w:t>. While RMC-6236 has demonstrated preclinical activity in models of RAS mutant cancers with diverse mutations, discovery and development of mutant-selective inhibitors of these targets may help to maximize clinical benefit for some patients with cancers bearing these RAS variants.</w:t>
      </w:r>
    </w:p>
    <w:p>
      <w:pPr>
        <w:pStyle w:val="TextBody"/>
        <w:spacing w:lineRule="auto" w:line="273" w:before="200" w:after="0"/>
        <w:jc w:val="left"/>
        <w:rPr>
          <w:rFonts w:ascii="Times New Roman" w:hAnsi="Times New Roman"/>
          <w:sz w:val="20"/>
        </w:rPr>
      </w:pPr>
      <w:r>
        <w:rPr>
          <w:rFonts w:ascii="Times New Roman" w:hAnsi="Times New Roman"/>
          <w:b/>
          <w:i/>
          <w:sz w:val="20"/>
        </w:rPr>
        <w:t>RAS Companion Inhibitors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 xml:space="preserve"> </w:t>
      </w:r>
      <w:r>
        <w:rPr>
          <w:rFonts w:ascii="Times New Roman" w:hAnsi="Times New Roman"/>
          <w:b/>
          <w:i/>
          <w:sz w:val="20"/>
        </w:rPr>
        <w:t xml:space="preserve">Establish our proprietary SHP2 inhibitor, RMC-4630, as the backbone of targeted therapy combinations for the treatment of RAS-dependent tumors. </w:t>
      </w:r>
      <w:r>
        <w:rPr>
          <w:rFonts w:ascii="Times New Roman" w:hAnsi="Times New Roman"/>
          <w:b w:val="false"/>
          <w:sz w:val="20"/>
        </w:rPr>
        <w:t>RMC-4630 is an allosteric inhibitor of SHP2, a convergent node within the oncogenic RAS-signaling pathway. We are evaluating RMC-4630 as both a monotherapy and as a backbone of combination therapies designed to maximize clinical benefit by combating drug resistance pathways that depend on SHP2. In the future, we may leverage our complementary pipeline of RAS(ON) and RAS Companion Inhibitors by evaluating RMC-4630 in combination with certain RAS(ON) inhibitors, which could include RMC-6291 or RMC-6236.</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 </w:t>
      </w:r>
      <w:r>
        <w:rPr>
          <w:rFonts w:ascii="Times New Roman" w:hAnsi="Times New Roman"/>
          <w:b/>
          <w:i/>
          <w:sz w:val="20"/>
        </w:rPr>
        <w:t>Demonstrate clinical utility of our RAS Companion Inhibitors targeting mTORC1/4EBP1 (RMC-5552) through precision oncology.</w:t>
      </w:r>
      <w:r>
        <w:rPr>
          <w:rFonts w:ascii="Times New Roman" w:hAnsi="Times New Roman"/>
          <w:sz w:val="20"/>
        </w:rPr>
        <w:t xml:space="preserve"> </w:t>
      </w:r>
      <w:r>
        <w:rPr>
          <w:rFonts w:ascii="Times New Roman" w:hAnsi="Times New Roman"/>
          <w:b w:val="false"/>
          <w:sz w:val="20"/>
        </w:rPr>
        <w:t>RMC-5552 is designed as a potent, selective inhibitor of mTORC1/4EBP1 that we are evaluating in an ongoing Phase 1 program. In initial clinical trials, we plan to test RMC-5552 both as a monotherapy in patients with cancers harboring genotypes linked to hyperactivated mTORC1 signaling, and as a combination partner for RAS inhibitors in patients with cancers harboring one or more RAS mutations and co-occurring mutations in the mTOR signaling pathway.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Corporate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 xml:space="preserve"> </w:t>
      </w:r>
      <w:r>
        <w:rPr>
          <w:rFonts w:ascii="Times New Roman" w:hAnsi="Times New Roman"/>
          <w:b/>
          <w:i/>
          <w:sz w:val="20"/>
        </w:rPr>
        <w:t xml:space="preserve">Maximize the global value of our programs by continuing to execute synergistic and value-creating transactions. </w:t>
      </w:r>
      <w:r>
        <w:rPr>
          <w:rFonts w:ascii="Times New Roman" w:hAnsi="Times New Roman"/>
          <w:b w:val="false"/>
          <w:sz w:val="20"/>
        </w:rPr>
        <w:t>We have the organizational capabilities and resources to enable us to continue to complete value-creating transactions, such as our collaboration with Sanofi on SHP2 and our acquisition of Warp Drive. In the future, we may enter into other collaborations where we believe there is an opportunity to accelerate the development and commercialization of our product candidates while allowing us to retain meaningful rights in major markets. We may also seek to acquire or in-license product candidates or technologies opportunistically that are synergistic with our drug discovery and development efforts.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 </w:t>
      </w:r>
      <w:r>
        <w:rPr>
          <w:rFonts w:ascii="Times New Roman" w:hAnsi="Times New Roman"/>
          <w:b/>
          <w:i/>
          <w:sz w:val="20"/>
        </w:rPr>
        <w:t>Maintain our culture of tireless commitment to patients</w:t>
      </w:r>
      <w:r>
        <w:rPr>
          <w:rFonts w:ascii="Times New Roman" w:hAnsi="Times New Roman"/>
          <w:b/>
          <w:sz w:val="20"/>
        </w:rPr>
        <w:t>.</w:t>
      </w:r>
      <w:r>
        <w:rPr>
          <w:rFonts w:ascii="Times New Roman" w:hAnsi="Times New Roman"/>
          <w:sz w:val="20"/>
        </w:rPr>
        <w:t xml:space="preserve"> </w:t>
      </w:r>
      <w:r>
        <w:rPr>
          <w:rFonts w:ascii="Times New Roman" w:hAnsi="Times New Roman"/>
          <w:b w:val="false"/>
          <w:sz w:val="20"/>
        </w:rPr>
        <w:t>As we grow our business, we will continue to apply transformative science in the development of novel targeted therapies for patients suffering from cancers with limited therapeutic options. To accomplish this, we intend to continue building our team of qualified individuals who share our commitment to collaboration and scientific rigor in the development of novel therapies to outsmart cancer and improve the lives of patients.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sz w:val="20"/>
        </w:rPr>
        <w:t>Our opportunity: multiple large unmet needs in RAS-addicted cancers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RAS mutant epidemiology in the United States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Variants in RAS proteins account for approximately 30% of all human cancers in the United States, many of which are fatal. Diverse oncogenic RAS variants in three different RAS isoforms (KRAS, NRAS and HRAS) drive distinct human cancers. Figure 1 below summarizes the estimated new RAS-addicted cancers diagnosed each year in the U.S. organized into convenience groups based on tumor genetics. Based on these data, we believe there are an estimated 230,000 new cancers diagnosed per year that could potentially be addressed by RAS inhibitors in the U.S. alone.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Figure 1.</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286375" cy="266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86375" cy="2667000"/>
                    </a:xfrm>
                    <a:prstGeom prst="rect">
                      <a:avLst/>
                    </a:prstGeom>
                  </pic:spPr>
                </pic:pic>
              </a:graphicData>
            </a:graphic>
          </wp:inline>
        </w:drawing>
      </w:r>
      <w:r>
        <w:rPr/>
        <w:t> </w:t>
      </w:r>
    </w:p>
    <w:p>
      <w:pPr>
        <w:pStyle w:val="TextBody"/>
        <w:spacing w:lineRule="auto" w:line="273" w:before="120" w:after="0"/>
        <w:jc w:val="left"/>
        <w:rPr>
          <w:rFonts w:ascii="Times New Roman" w:hAnsi="Times New Roman"/>
          <w:sz w:val="20"/>
        </w:rPr>
      </w:pPr>
      <w:r>
        <w:rPr>
          <w:rFonts w:ascii="Times New Roman" w:hAnsi="Times New Roman"/>
          <w:b w:val="false"/>
          <w:sz w:val="15"/>
        </w:rPr>
        <w:t>(1) HRAS</w:t>
      </w:r>
      <w:r>
        <w:rPr>
          <w:rFonts w:ascii="Times New Roman" w:hAnsi="Times New Roman"/>
          <w:b w:val="false"/>
          <w:sz w:val="10"/>
        </w:rPr>
        <w:t>X</w:t>
      </w:r>
      <w:r>
        <w:rPr>
          <w:rFonts w:ascii="Times New Roman" w:hAnsi="Times New Roman"/>
          <w:sz w:val="20"/>
        </w:rPr>
        <w:t xml:space="preserve"> </w:t>
      </w:r>
      <w:r>
        <w:rPr>
          <w:rFonts w:ascii="Times New Roman" w:hAnsi="Times New Roman"/>
          <w:b w:val="false"/>
          <w:sz w:val="15"/>
        </w:rPr>
        <w:t>= all HRAS mutants; NRAS</w:t>
      </w:r>
      <w:r>
        <w:rPr>
          <w:rFonts w:ascii="Times New Roman" w:hAnsi="Times New Roman"/>
          <w:b w:val="false"/>
          <w:sz w:val="10"/>
        </w:rPr>
        <w:t xml:space="preserve">Q61X </w:t>
      </w:r>
      <w:r>
        <w:rPr>
          <w:rFonts w:ascii="Times New Roman" w:hAnsi="Times New Roman"/>
          <w:b w:val="false"/>
          <w:sz w:val="15"/>
        </w:rPr>
        <w:t>X = H, K, L, R, P; RAS</w:t>
      </w:r>
      <w:r>
        <w:rPr>
          <w:rFonts w:ascii="Times New Roman" w:hAnsi="Times New Roman"/>
          <w:b w:val="false"/>
          <w:sz w:val="10"/>
        </w:rPr>
        <w:t>WT</w:t>
      </w:r>
      <w:r>
        <w:rPr>
          <w:rFonts w:ascii="Times New Roman" w:hAnsi="Times New Roman"/>
          <w:sz w:val="20"/>
        </w:rPr>
        <w:t xml:space="preserve"> </w:t>
      </w:r>
      <w:r>
        <w:rPr>
          <w:rFonts w:ascii="Times New Roman" w:hAnsi="Times New Roman"/>
          <w:b w:val="false"/>
          <w:sz w:val="15"/>
        </w:rPr>
        <w:t>= NF1</w:t>
      </w:r>
      <w:r>
        <w:rPr>
          <w:rFonts w:ascii="Times New Roman" w:hAnsi="Times New Roman"/>
          <w:b w:val="false"/>
          <w:sz w:val="10"/>
        </w:rPr>
        <w:t>LOF</w:t>
      </w:r>
      <w:r>
        <w:rPr>
          <w:rFonts w:ascii="Times New Roman" w:hAnsi="Times New Roman"/>
          <w:b w:val="false"/>
          <w:sz w:val="15"/>
        </w:rPr>
        <w:t>, RAS</w:t>
      </w:r>
      <w:r>
        <w:rPr>
          <w:rFonts w:ascii="Times New Roman" w:hAnsi="Times New Roman"/>
          <w:b w:val="false"/>
          <w:sz w:val="10"/>
        </w:rPr>
        <w:t>WTamp</w:t>
      </w:r>
      <w:r>
        <w:rPr>
          <w:rFonts w:ascii="Times New Roman" w:hAnsi="Times New Roman"/>
          <w:b w:val="false"/>
          <w:sz w:val="15"/>
        </w:rPr>
        <w:t>, BRAF</w:t>
      </w:r>
      <w:r>
        <w:rPr>
          <w:rFonts w:ascii="Times New Roman" w:hAnsi="Times New Roman"/>
          <w:b w:val="false"/>
          <w:sz w:val="10"/>
        </w:rPr>
        <w:t xml:space="preserve">class3 </w:t>
      </w:r>
      <w:r>
        <w:rPr>
          <w:rFonts w:ascii="Times New Roman" w:hAnsi="Times New Roman"/>
          <w:b w:val="false"/>
          <w:sz w:val="15"/>
        </w:rPr>
        <w:t>and PTPN11</w:t>
      </w:r>
      <w:r>
        <w:rPr>
          <w:rFonts w:ascii="Times New Roman" w:hAnsi="Times New Roman"/>
          <w:b w:val="false"/>
          <w:sz w:val="10"/>
        </w:rPr>
        <w:t>MUT</w:t>
      </w:r>
      <w:r>
        <w:rPr>
          <w:rFonts w:ascii="Times New Roman" w:hAnsi="Times New Roman"/>
          <w:b w:val="false"/>
          <w:sz w:val="15"/>
        </w:rPr>
        <w:t>; KRAS</w:t>
      </w:r>
      <w:r>
        <w:rPr>
          <w:rFonts w:ascii="Times New Roman" w:hAnsi="Times New Roman"/>
          <w:b w:val="false"/>
          <w:sz w:val="10"/>
        </w:rPr>
        <w:t xml:space="preserve">X </w:t>
      </w:r>
      <w:r>
        <w:rPr>
          <w:rFonts w:ascii="Times New Roman" w:hAnsi="Times New Roman"/>
          <w:b w:val="false"/>
          <w:sz w:val="15"/>
        </w:rPr>
        <w:t>X = G12A, G12R, G12S and A146T; KRAS</w:t>
      </w:r>
      <w:r>
        <w:rPr>
          <w:rFonts w:ascii="Times New Roman" w:hAnsi="Times New Roman"/>
          <w:b w:val="false"/>
          <w:sz w:val="10"/>
        </w:rPr>
        <w:t>Q61X</w:t>
      </w:r>
      <w:r>
        <w:rPr>
          <w:rFonts w:ascii="Times New Roman" w:hAnsi="Times New Roman"/>
          <w:sz w:val="20"/>
        </w:rPr>
        <w:t xml:space="preserve"> </w:t>
      </w:r>
      <w:r>
        <w:rPr>
          <w:rFonts w:ascii="Times New Roman" w:hAnsi="Times New Roman"/>
          <w:b w:val="false"/>
          <w:sz w:val="15"/>
        </w:rPr>
        <w:t>X = H, K, L; RAS</w:t>
      </w:r>
      <w:r>
        <w:rPr>
          <w:rFonts w:ascii="Times New Roman" w:hAnsi="Times New Roman"/>
          <w:b w:val="false"/>
          <w:sz w:val="10"/>
        </w:rPr>
        <w:t>G12C</w:t>
      </w:r>
      <w:r>
        <w:rPr>
          <w:rFonts w:ascii="Times New Roman" w:hAnsi="Times New Roman"/>
          <w:sz w:val="20"/>
        </w:rPr>
        <w:t xml:space="preserve"> </w:t>
      </w:r>
      <w:r>
        <w:rPr>
          <w:rFonts w:ascii="Times New Roman" w:hAnsi="Times New Roman"/>
          <w:b w:val="false"/>
          <w:sz w:val="15"/>
        </w:rPr>
        <w:t>includes KRAS</w:t>
      </w:r>
      <w:r>
        <w:rPr>
          <w:rFonts w:ascii="Times New Roman" w:hAnsi="Times New Roman"/>
          <w:b w:val="false"/>
          <w:sz w:val="10"/>
        </w:rPr>
        <w:t>G12C</w:t>
      </w:r>
      <w:r>
        <w:rPr>
          <w:rFonts w:ascii="Times New Roman" w:hAnsi="Times New Roman"/>
          <w:sz w:val="20"/>
        </w:rPr>
        <w:t xml:space="preserve"> </w:t>
      </w:r>
      <w:r>
        <w:rPr>
          <w:rFonts w:ascii="Times New Roman" w:hAnsi="Times New Roman"/>
          <w:b w:val="false"/>
          <w:sz w:val="15"/>
        </w:rPr>
        <w:t>and NRAS</w:t>
      </w:r>
      <w:r>
        <w:rPr>
          <w:rFonts w:ascii="Times New Roman" w:hAnsi="Times New Roman"/>
          <w:b w:val="false"/>
          <w:sz w:val="10"/>
        </w:rPr>
        <w:t>G12C</w:t>
      </w:r>
      <w:r>
        <w:rPr>
          <w:rFonts w:ascii="Times New Roman" w:hAnsi="Times New Roman"/>
          <w:b w:val="false"/>
          <w:sz w:val="15"/>
        </w:rPr>
        <w:t>.</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Times New Roman" w:hAnsi="Times New Roman"/>
          <w:b w:val="false"/>
          <w:sz w:val="15"/>
        </w:rPr>
        <w:t>(2) Calculated using tumor mutation frequencies from Foundation Medicine Insights August 2020 and scaled to estimated patient numbers using cancer incidence from ACS</w:t>
      </w:r>
      <w:r>
        <w:rPr>
          <w:rFonts w:ascii="Times New Roman" w:hAnsi="Times New Roman"/>
          <w:sz w:val="20"/>
        </w:rPr>
        <w:t xml:space="preserve"> </w:t>
      </w:r>
      <w:r>
        <w:rPr>
          <w:rFonts w:ascii="Times New Roman" w:hAnsi="Times New Roman"/>
          <w:b w:val="false"/>
          <w:i/>
          <w:sz w:val="15"/>
        </w:rPr>
        <w:t xml:space="preserve">Cancer Facts and Figures </w:t>
      </w:r>
      <w:r>
        <w:rPr>
          <w:rFonts w:ascii="Times New Roman" w:hAnsi="Times New Roman"/>
          <w:b w:val="false"/>
          <w:sz w:val="15"/>
        </w:rPr>
        <w:t>2020. Includes 12 major types: non-small cell lung cancer, colorectal, pancreatic adenocarcinoma, renal, gastroesophageal, head and neck squamous cell, ovarian and biliary cancers, acute myeloid leukemia, and advanced melanoma, bladder and uterine/endometrial cancers causing mortality.</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Times New Roman" w:hAnsi="Times New Roman"/>
          <w:b w:val="false"/>
          <w:sz w:val="15"/>
        </w:rPr>
        <w:t xml:space="preserve">(3) Estimated worldwide annual incidence of RAS-mutated cancers is 3.4 million per year. Prior et al., </w:t>
      </w:r>
      <w:r>
        <w:rPr>
          <w:rFonts w:ascii="Times New Roman" w:hAnsi="Times New Roman"/>
          <w:b w:val="false"/>
          <w:i/>
          <w:sz w:val="15"/>
        </w:rPr>
        <w:t xml:space="preserve">Cancer Research </w:t>
      </w:r>
      <w:r>
        <w:rPr>
          <w:rFonts w:ascii="Times New Roman" w:hAnsi="Times New Roman"/>
          <w:b w:val="false"/>
          <w:sz w:val="15"/>
        </w:rPr>
        <w:t>2020.</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sz w:val="20"/>
        </w:rPr>
        <w:t>Our innovation engine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have built an innovation engine that enables us to discover and develop novel targeted therapies for elusive high-value frontier cancer targets with particular focus on a cohesive set of disease targets within notorious growth and survival pathways. This engine is centered around our proprietary tri-complex platform and is bolstered by three complementary pillars: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Deep chemical biology and cancer pharmacology know-how, including assays and proprietary tool compounds, to define the critical vulnerabilities of “frontier” RAS and mTOR pathway targets and associated signaling circuits in cancer cells;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Sophisticated structure-based drug discovery capabilities, including proven access to complex chemical space, to create drug candidates tailored to unconventional binding sites on elusive cancer targets;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Astute precision medicine approach, embracing patient selection and innovative single agent and combination drug regimens, to translate our preclinical insights into clinical benefit for patients with RAS-addicted cancers.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Our Tri-complex platform</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Our proprietary tri-complex technology enables us to discover small molecule inhibitors of targets lacking intrinsic drug binding sites by inducing new druggable pockets. This occurs through small molecule-driven formation of a high affinity ternary complex (tri-complex) between the target protein, the small molecule, and a widely expressed cytosolic protein called a chaperone (e.g., FKPB12 or cyclophilin A). This platform technology is the foundation of our RAS(ON) Inhibitor programs. In this context, the inhibitory effect of tri-complex formation on the RAS(ON) target is mediated by steric occlusion of the site where RAS(ON) binds its downstream effector molecules, such as RAF, which are required for propagating the oncogenic signal. Thus, tri-complex formation with RAS(ON) targets disrupts RAS effector binding and terminates oncogenic signaling. Our RAS(ON) tri-complex inhibitors, which are inspired by natural products, are “Beyond Rule of 5” compounds.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sz w:val="20"/>
        </w:rPr>
        <w:t>Pipeline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Our pipeline is summarized below:</w:t>
      </w:r>
      <w:r>
        <w:rPr>
          <w:rFonts w:ascii="Times New Roman" w:hAnsi="Times New Roman"/>
          <w:sz w:val="20"/>
        </w:rPr>
        <w:t xml:space="preserve"> </w:t>
      </w:r>
    </w:p>
    <w:p>
      <w:pPr>
        <w:pStyle w:val="TextBody"/>
        <w:spacing w:lineRule="auto" w:line="273" w:before="20" w:after="0"/>
        <w:jc w:val="left"/>
        <w:rPr/>
      </w:pPr>
      <w:r>
        <w:rPr/>
        <w:t> </w:t>
      </w:r>
    </w:p>
    <w:p>
      <w:pPr>
        <w:pStyle w:val="TextBody"/>
        <w:spacing w:lineRule="auto" w:line="273" w:before="0" w:after="0"/>
        <w:jc w:val="center"/>
        <w:rPr/>
      </w:pPr>
      <w:r>
        <w:rPr/>
        <w:drawing>
          <wp:inline distT="0" distB="0" distL="0" distR="0">
            <wp:extent cx="5781675" cy="238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81675" cy="2381250"/>
                    </a:xfrm>
                    <a:prstGeom prst="rect">
                      <a:avLst/>
                    </a:prstGeom>
                  </pic:spPr>
                </pic:pic>
              </a:graphicData>
            </a:graphic>
          </wp:inline>
        </w:drawing>
      </w:r>
      <w:r>
        <w:rPr/>
        <w:t xml:space="preserve">  </w:t>
      </w:r>
    </w:p>
    <w:p>
      <w:pPr>
        <w:pStyle w:val="TextBody"/>
        <w:spacing w:lineRule="auto" w:line="273" w:before="0" w:after="0"/>
        <w:jc w:val="center"/>
        <w:rPr/>
      </w:pPr>
      <w:r>
        <w:rPr/>
        <w:t> </w:t>
      </w:r>
    </w:p>
    <w:p>
      <w:pPr>
        <w:pStyle w:val="TextBody"/>
        <w:spacing w:lineRule="auto" w:line="273" w:before="240" w:after="0"/>
        <w:jc w:val="left"/>
        <w:rPr>
          <w:rFonts w:ascii="Times New Roman" w:hAnsi="Times New Roman"/>
          <w:sz w:val="20"/>
        </w:rPr>
      </w:pPr>
      <w:r>
        <w:rPr>
          <w:rFonts w:ascii="Times New Roman" w:hAnsi="Times New Roman"/>
          <w:b/>
          <w:i/>
          <w:sz w:val="20"/>
        </w:rPr>
        <w:t>RAS(ON) Inhibitors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Overview</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Our RAS(ON) Inhibitors are based on our proprietary tri-complex technology platform, which enables a highly differentiated approach to inhibiting the active, GTP-bound form of RAS, or RAS(ON). We are developing a portfolio of compounds that we believe are the first and only RAS(ON) inhibitors to use this mechanism of action. Our portfolio of RAS(ON) inhibitors includes four compounds in the IND-enabling stage of preclinical development: RMC-6236 (RAS</w:t>
      </w:r>
      <w:r>
        <w:rPr>
          <w:rFonts w:ascii="Times New Roman" w:hAnsi="Times New Roman"/>
          <w:b w:val="false"/>
          <w:sz w:val="13"/>
        </w:rPr>
        <w:t>MULTI</w:t>
      </w:r>
      <w:r>
        <w:rPr>
          <w:rFonts w:ascii="Times New Roman" w:hAnsi="Times New Roman"/>
          <w:b w:val="false"/>
          <w:sz w:val="20"/>
        </w:rPr>
        <w:t>), RMC-6291 (KRAS</w:t>
      </w:r>
      <w:r>
        <w:rPr>
          <w:rFonts w:ascii="Times New Roman" w:hAnsi="Times New Roman"/>
          <w:b w:val="false"/>
          <w:sz w:val="13"/>
        </w:rPr>
        <w:t>G12C</w:t>
      </w:r>
      <w:r>
        <w:rPr>
          <w:rFonts w:ascii="Times New Roman" w:hAnsi="Times New Roman"/>
          <w:b w:val="false"/>
          <w:sz w:val="20"/>
        </w:rPr>
        <w:t>), RMC-9805 (KRAS</w:t>
      </w:r>
      <w:r>
        <w:rPr>
          <w:rFonts w:ascii="Times New Roman" w:hAnsi="Times New Roman"/>
          <w:b w:val="false"/>
          <w:sz w:val="13"/>
        </w:rPr>
        <w:t>G12D</w:t>
      </w:r>
      <w:r>
        <w:rPr>
          <w:rFonts w:ascii="Times New Roman" w:hAnsi="Times New Roman"/>
          <w:b w:val="false"/>
          <w:sz w:val="20"/>
        </w:rPr>
        <w:t>) and RMC-8839 (KRAS</w:t>
      </w:r>
      <w:r>
        <w:rPr>
          <w:rFonts w:ascii="Times New Roman" w:hAnsi="Times New Roman"/>
          <w:b w:val="false"/>
          <w:sz w:val="13"/>
        </w:rPr>
        <w:t>G13C</w:t>
      </w:r>
      <w:r>
        <w:rPr>
          <w:rFonts w:ascii="Times New Roman" w:hAnsi="Times New Roman"/>
          <w:b w:val="false"/>
          <w:sz w:val="20"/>
        </w:rPr>
        <w:t xml:space="preserve">). All four of these inhibitors have driven tumor regressions </w:t>
      </w:r>
      <w:r>
        <w:rPr>
          <w:rFonts w:ascii="Times New Roman" w:hAnsi="Times New Roman"/>
          <w:b w:val="false"/>
          <w:i/>
          <w:sz w:val="20"/>
        </w:rPr>
        <w:t>in vivo</w:t>
      </w:r>
      <w:r>
        <w:rPr>
          <w:rFonts w:ascii="Times New Roman" w:hAnsi="Times New Roman"/>
          <w:sz w:val="20"/>
        </w:rPr>
        <w:t xml:space="preserve"> </w:t>
      </w:r>
      <w:r>
        <w:rPr>
          <w:rFonts w:ascii="Times New Roman" w:hAnsi="Times New Roman"/>
          <w:b w:val="false"/>
          <w:sz w:val="20"/>
        </w:rPr>
        <w:t>in preclinical models of target genotypes. We believe that direct inhibitors of RAS(ON) will suppress cell growth and survival and be less susceptible to adaptive resistance mechanisms recognized for RAS(OFF) inhibitors. We plan to evaluate our RAS(ON) Inhibitors alone and in combination with other drugs and investigational drug candidates, particularly in-pathway agents.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believe tailored RAS(ON) inhibitors will be useful to serve the diverse landscape of RAS-driven cancers optimally. We believe that in some cases, patients may experience maximal clinical benefit from the broad activity of our RAS</w:t>
      </w:r>
      <w:r>
        <w:rPr>
          <w:rFonts w:ascii="Times New Roman" w:hAnsi="Times New Roman"/>
          <w:b w:val="false"/>
          <w:sz w:val="13"/>
        </w:rPr>
        <w:t>MULTI</w:t>
      </w:r>
      <w:r>
        <w:rPr>
          <w:rFonts w:ascii="Times New Roman" w:hAnsi="Times New Roman"/>
          <w:b w:val="false"/>
          <w:sz w:val="20"/>
        </w:rPr>
        <w:t>(ON) inhibitor, RMC-6236, if approved. In others, treatment with a mutant-selective RAS(ON) inhibitor like RMC-6291 (KRAS</w:t>
      </w:r>
      <w:r>
        <w:rPr>
          <w:rFonts w:ascii="Times New Roman" w:hAnsi="Times New Roman"/>
          <w:b w:val="false"/>
          <w:sz w:val="13"/>
        </w:rPr>
        <w:t>G12C</w:t>
      </w:r>
      <w:r>
        <w:rPr>
          <w:rFonts w:ascii="Times New Roman" w:hAnsi="Times New Roman"/>
          <w:b w:val="false"/>
          <w:sz w:val="20"/>
        </w:rPr>
        <w:t>), RMC-9805 (KRAS</w:t>
      </w:r>
      <w:r>
        <w:rPr>
          <w:rFonts w:ascii="Times New Roman" w:hAnsi="Times New Roman"/>
          <w:b w:val="false"/>
          <w:sz w:val="13"/>
        </w:rPr>
        <w:t>G12D</w:t>
      </w:r>
      <w:r>
        <w:rPr>
          <w:rFonts w:ascii="Times New Roman" w:hAnsi="Times New Roman"/>
          <w:b w:val="false"/>
          <w:sz w:val="20"/>
        </w:rPr>
        <w:t>) or RMC-8839 (KRAS</w:t>
      </w:r>
      <w:r>
        <w:rPr>
          <w:rFonts w:ascii="Times New Roman" w:hAnsi="Times New Roman"/>
          <w:b w:val="false"/>
          <w:sz w:val="13"/>
        </w:rPr>
        <w:t>G13C</w:t>
      </w:r>
      <w:r>
        <w:rPr>
          <w:rFonts w:ascii="Times New Roman" w:hAnsi="Times New Roman"/>
          <w:b w:val="false"/>
          <w:sz w:val="20"/>
        </w:rPr>
        <w:t>) may be optimal. Consistent with this thesis, we are pursuing additional RAS mutant-selective inhibitors for RAS variants KRAS</w:t>
      </w:r>
      <w:r>
        <w:rPr>
          <w:rFonts w:ascii="Times New Roman" w:hAnsi="Times New Roman"/>
          <w:b w:val="false"/>
          <w:sz w:val="13"/>
        </w:rPr>
        <w:t>G12R</w:t>
      </w:r>
      <w:r>
        <w:rPr>
          <w:rFonts w:ascii="Times New Roman" w:hAnsi="Times New Roman"/>
          <w:b w:val="false"/>
          <w:sz w:val="20"/>
        </w:rPr>
        <w:t>, KRAS</w:t>
      </w:r>
      <w:r>
        <w:rPr>
          <w:rFonts w:ascii="Times New Roman" w:hAnsi="Times New Roman"/>
          <w:b w:val="false"/>
          <w:sz w:val="13"/>
        </w:rPr>
        <w:t>G12V</w:t>
      </w:r>
      <w:r>
        <w:rPr>
          <w:rFonts w:ascii="Times New Roman" w:hAnsi="Times New Roman"/>
          <w:b w:val="false"/>
          <w:sz w:val="20"/>
        </w:rPr>
        <w:t>, KRAS</w:t>
      </w:r>
      <w:r>
        <w:rPr>
          <w:rFonts w:ascii="Times New Roman" w:hAnsi="Times New Roman"/>
          <w:b w:val="false"/>
          <w:sz w:val="13"/>
        </w:rPr>
        <w:t>G13D</w:t>
      </w:r>
      <w:r>
        <w:rPr>
          <w:rFonts w:ascii="Times New Roman" w:hAnsi="Times New Roman"/>
          <w:sz w:val="20"/>
        </w:rPr>
        <w:t xml:space="preserve"> </w:t>
      </w:r>
      <w:r>
        <w:rPr>
          <w:rFonts w:ascii="Times New Roman" w:hAnsi="Times New Roman"/>
          <w:b w:val="false"/>
          <w:sz w:val="20"/>
        </w:rPr>
        <w:t>and RAS</w:t>
      </w:r>
      <w:r>
        <w:rPr>
          <w:rFonts w:ascii="Times New Roman" w:hAnsi="Times New Roman"/>
          <w:b w:val="false"/>
          <w:sz w:val="13"/>
        </w:rPr>
        <w:t>Q61X</w:t>
      </w:r>
      <w:r>
        <w:rPr>
          <w:rFonts w:ascii="Times New Roman" w:hAnsi="Times New Roman"/>
          <w:b w:val="false"/>
          <w:sz w:val="20"/>
        </w:rPr>
        <w:t>. This strategy is a component of our broader mission to develop the best therapeutic regimens for patients with RAS mutant cancer by combining the optimal RAS(ON) Inhibitor with the optimal RAS Companion Inhibitor.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RMC-6236</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RMC-6236, our RAS</w:t>
      </w:r>
      <w:r>
        <w:rPr>
          <w:rFonts w:ascii="Times New Roman" w:hAnsi="Times New Roman"/>
          <w:b w:val="false"/>
          <w:sz w:val="13"/>
        </w:rPr>
        <w:t>MULTI</w:t>
      </w:r>
      <w:r>
        <w:rPr>
          <w:rFonts w:ascii="Times New Roman" w:hAnsi="Times New Roman"/>
          <w:b w:val="false"/>
          <w:sz w:val="20"/>
        </w:rPr>
        <w:t>(ON) inhibitor development candidate, is in the IND-enabling stage of preclinical development. RMC-6236 is designed as a first-in-class, potent, oral, RAS-selective tri-complex inhibitor of multiple RAS(ON) variants including cancer drivers at all three of the major hotspot positions, G12, G13, and Q61. RMC-6236 inhibits all canonical RAS family members, suppressing the mutant cancer driver and cooperating wild-type RAS proteins.</w:t>
      </w:r>
    </w:p>
    <w:p>
      <w:pPr>
        <w:pStyle w:val="TextBody"/>
        <w:spacing w:lineRule="auto" w:line="273" w:before="200" w:after="0"/>
        <w:jc w:val="left"/>
        <w:rPr>
          <w:rFonts w:ascii="Times New Roman" w:hAnsi="Times New Roman"/>
          <w:sz w:val="20"/>
        </w:rPr>
      </w:pPr>
      <w:r>
        <w:rPr>
          <w:rFonts w:ascii="Times New Roman" w:hAnsi="Times New Roman"/>
          <w:b w:val="false"/>
          <w:sz w:val="20"/>
        </w:rPr>
        <w:t xml:space="preserve">In a series of </w:t>
      </w:r>
      <w:r>
        <w:rPr>
          <w:rFonts w:ascii="Times New Roman" w:hAnsi="Times New Roman"/>
          <w:b w:val="false"/>
          <w:i/>
          <w:sz w:val="20"/>
        </w:rPr>
        <w:t>in vivo</w:t>
      </w:r>
      <w:r>
        <w:rPr>
          <w:rFonts w:ascii="Times New Roman" w:hAnsi="Times New Roman"/>
          <w:sz w:val="20"/>
        </w:rPr>
        <w:t xml:space="preserve"> </w:t>
      </w:r>
      <w:r>
        <w:rPr>
          <w:rFonts w:ascii="Times New Roman" w:hAnsi="Times New Roman"/>
          <w:b w:val="false"/>
          <w:sz w:val="20"/>
        </w:rPr>
        <w:t>tumor xenograft studies, RMC-6236 was highly active against lung, pancreatic and colorectal cancers bearing KRAS</w:t>
      </w:r>
      <w:r>
        <w:rPr>
          <w:rFonts w:ascii="Times New Roman" w:hAnsi="Times New Roman"/>
          <w:b w:val="false"/>
          <w:sz w:val="13"/>
        </w:rPr>
        <w:t>G12X</w:t>
      </w:r>
      <w:r>
        <w:rPr>
          <w:rFonts w:ascii="Times New Roman" w:hAnsi="Times New Roman"/>
          <w:sz w:val="20"/>
        </w:rPr>
        <w:t xml:space="preserve"> </w:t>
      </w:r>
      <w:r>
        <w:rPr>
          <w:rFonts w:ascii="Times New Roman" w:hAnsi="Times New Roman"/>
          <w:b w:val="false"/>
          <w:sz w:val="20"/>
        </w:rPr>
        <w:t>driver mutations (KRAS</w:t>
      </w:r>
      <w:r>
        <w:rPr>
          <w:rFonts w:ascii="Times New Roman" w:hAnsi="Times New Roman"/>
          <w:b w:val="false"/>
          <w:sz w:val="13"/>
        </w:rPr>
        <w:t>G12D</w:t>
      </w:r>
      <w:r>
        <w:rPr>
          <w:rFonts w:ascii="Times New Roman" w:hAnsi="Times New Roman"/>
          <w:b w:val="false"/>
          <w:sz w:val="20"/>
        </w:rPr>
        <w:t>, KRAS</w:t>
      </w:r>
      <w:r>
        <w:rPr>
          <w:rFonts w:ascii="Times New Roman" w:hAnsi="Times New Roman"/>
          <w:b w:val="false"/>
          <w:sz w:val="13"/>
        </w:rPr>
        <w:t>G12V</w:t>
      </w:r>
      <w:r>
        <w:rPr>
          <w:rFonts w:ascii="Times New Roman" w:hAnsi="Times New Roman"/>
          <w:b w:val="false"/>
          <w:sz w:val="20"/>
        </w:rPr>
        <w:t>, KRAS</w:t>
      </w:r>
      <w:r>
        <w:rPr>
          <w:rFonts w:ascii="Times New Roman" w:hAnsi="Times New Roman"/>
          <w:b w:val="false"/>
          <w:sz w:val="13"/>
        </w:rPr>
        <w:t>G12R</w:t>
      </w:r>
      <w:r>
        <w:rPr>
          <w:rFonts w:ascii="Times New Roman" w:hAnsi="Times New Roman"/>
          <w:sz w:val="20"/>
        </w:rPr>
        <w:t xml:space="preserve"> </w:t>
      </w:r>
      <w:r>
        <w:rPr>
          <w:rFonts w:ascii="Times New Roman" w:hAnsi="Times New Roman"/>
          <w:b w:val="false"/>
          <w:sz w:val="20"/>
        </w:rPr>
        <w:t>or KRAS</w:t>
      </w:r>
      <w:r>
        <w:rPr>
          <w:rFonts w:ascii="Times New Roman" w:hAnsi="Times New Roman"/>
          <w:b w:val="false"/>
          <w:sz w:val="13"/>
        </w:rPr>
        <w:t>G12C</w:t>
      </w:r>
      <w:r>
        <w:rPr>
          <w:rFonts w:ascii="Times New Roman" w:hAnsi="Times New Roman"/>
          <w:b w:val="false"/>
          <w:sz w:val="20"/>
        </w:rPr>
        <w:t>; Figure 2). Across cancer types, RMC-6236 drove deep tumor regressions, including complete responses, and established preclinical response rates supporting advancement into clinical development.</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Figure 2. RMC-6236 was highly active </w:t>
      </w:r>
      <w:r>
        <w:rPr>
          <w:rFonts w:ascii="Times New Roman" w:hAnsi="Times New Roman"/>
          <w:b w:val="false"/>
          <w:i/>
          <w:sz w:val="20"/>
        </w:rPr>
        <w:t>in vivo</w:t>
      </w:r>
      <w:r>
        <w:rPr>
          <w:rFonts w:ascii="Times New Roman" w:hAnsi="Times New Roman"/>
          <w:sz w:val="20"/>
        </w:rPr>
        <w:t xml:space="preserve"> </w:t>
      </w:r>
      <w:r>
        <w:rPr>
          <w:rFonts w:ascii="Times New Roman" w:hAnsi="Times New Roman"/>
          <w:b w:val="false"/>
          <w:sz w:val="20"/>
        </w:rPr>
        <w:t>across cancer models with KRAS</w:t>
      </w:r>
      <w:r>
        <w:rPr>
          <w:rFonts w:ascii="Times New Roman" w:hAnsi="Times New Roman"/>
          <w:b w:val="false"/>
          <w:sz w:val="13"/>
        </w:rPr>
        <w:t>G12X</w:t>
      </w:r>
      <w:r>
        <w:rPr>
          <w:rFonts w:ascii="Times New Roman" w:hAnsi="Times New Roman"/>
          <w:sz w:val="20"/>
        </w:rPr>
        <w:t xml:space="preserve"> </w:t>
      </w:r>
      <w:r>
        <w:rPr>
          <w:rFonts w:ascii="Times New Roman" w:hAnsi="Times New Roman"/>
          <w:b w:val="false"/>
          <w:sz w:val="20"/>
        </w:rPr>
        <w:t>drivers.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6858000" cy="2162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2162175"/>
                    </a:xfrm>
                    <a:prstGeom prst="rect">
                      <a:avLst/>
                    </a:prstGeom>
                  </pic:spPr>
                </pic:pic>
              </a:graphicData>
            </a:graphic>
          </wp:inline>
        </w:drawing>
      </w:r>
      <w:r>
        <w:rPr/>
        <w:t> </w:t>
      </w:r>
    </w:p>
    <w:p>
      <w:pPr>
        <w:pStyle w:val="TextBody"/>
        <w:spacing w:lineRule="auto" w:line="273" w:before="120" w:after="0"/>
        <w:jc w:val="left"/>
        <w:rPr>
          <w:rFonts w:ascii="Times New Roman" w:hAnsi="Times New Roman"/>
          <w:sz w:val="20"/>
        </w:rPr>
      </w:pPr>
      <w:r>
        <w:rPr>
          <w:rFonts w:ascii="Times New Roman" w:hAnsi="Times New Roman"/>
          <w:b w:val="false"/>
          <w:i/>
          <w:sz w:val="15"/>
        </w:rPr>
        <w:t>In vivo</w:t>
      </w:r>
      <w:r>
        <w:rPr>
          <w:rFonts w:ascii="Times New Roman" w:hAnsi="Times New Roman"/>
          <w:sz w:val="20"/>
        </w:rPr>
        <w:t xml:space="preserve"> </w:t>
      </w:r>
      <w:r>
        <w:rPr>
          <w:rFonts w:ascii="Times New Roman" w:hAnsi="Times New Roman"/>
          <w:b w:val="false"/>
          <w:sz w:val="15"/>
        </w:rPr>
        <w:t>characterization of the effect of RMC-6236 on the growth of KRAS</w:t>
      </w:r>
      <w:r>
        <w:rPr>
          <w:rFonts w:ascii="Times New Roman" w:hAnsi="Times New Roman"/>
          <w:b w:val="false"/>
          <w:sz w:val="10"/>
        </w:rPr>
        <w:t>G12X</w:t>
      </w:r>
      <w:r>
        <w:rPr>
          <w:rFonts w:ascii="Times New Roman" w:hAnsi="Times New Roman"/>
          <w:sz w:val="20"/>
        </w:rPr>
        <w:t xml:space="preserve"> </w:t>
      </w:r>
      <w:r>
        <w:rPr>
          <w:rFonts w:ascii="Times New Roman" w:hAnsi="Times New Roman"/>
          <w:b w:val="false"/>
          <w:sz w:val="15"/>
        </w:rPr>
        <w:t>cancers. RMC-6236 was dosed at 25 mg/kg po qd. n=3-10/group.</w:t>
      </w:r>
      <w:r>
        <w:rPr>
          <w:rFonts w:ascii="Times New Roman" w:hAnsi="Times New Roman"/>
          <w:sz w:val="20"/>
        </w:rPr>
        <w:t xml:space="preserve"> </w:t>
      </w:r>
      <w:r>
        <w:rPr>
          <w:rFonts w:ascii="Times New Roman" w:hAnsi="Times New Roman"/>
          <w:b w:val="false"/>
          <w:sz w:val="15"/>
        </w:rPr>
        <w:t>NSCLC = non-small cell lung cancer; PDAC = pancreatic ductal adenocarcinoma; CRC = colorectal cancer. Responses assigned according to mRECIST (modified from Gao et al. Nat Med. 2015). ORR = objective response rate; DCR = disease control rate.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believe the preclinical results for RMC-6236 show that this product candidate has the potential to treat patients whose cancers harbor a range of RAS variants, including KRAS</w:t>
      </w:r>
      <w:r>
        <w:rPr>
          <w:rFonts w:ascii="Times New Roman" w:hAnsi="Times New Roman"/>
          <w:b w:val="false"/>
          <w:sz w:val="13"/>
        </w:rPr>
        <w:t>G12X</w:t>
      </w:r>
      <w:r>
        <w:rPr>
          <w:rFonts w:ascii="Times New Roman" w:hAnsi="Times New Roman"/>
          <w:sz w:val="20"/>
        </w:rPr>
        <w:t xml:space="preserve"> </w:t>
      </w:r>
      <w:r>
        <w:rPr>
          <w:rFonts w:ascii="Times New Roman" w:hAnsi="Times New Roman"/>
          <w:b w:val="false"/>
          <w:sz w:val="20"/>
        </w:rPr>
        <w:t>mutations. While first-generation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inhibitors have provided strong clinical validation of RAS as a cancer driver, patients with cancers bearing KRAS</w:t>
      </w:r>
      <w:r>
        <w:rPr>
          <w:rFonts w:ascii="Times New Roman" w:hAnsi="Times New Roman"/>
          <w:b w:val="false"/>
          <w:sz w:val="13"/>
        </w:rPr>
        <w:t>G12D</w:t>
      </w:r>
      <w:r>
        <w:rPr>
          <w:rFonts w:ascii="Times New Roman" w:hAnsi="Times New Roman"/>
          <w:b w:val="false"/>
          <w:sz w:val="20"/>
        </w:rPr>
        <w:t>, KRAS</w:t>
      </w:r>
      <w:r>
        <w:rPr>
          <w:rFonts w:ascii="Times New Roman" w:hAnsi="Times New Roman"/>
          <w:b w:val="false"/>
          <w:sz w:val="13"/>
        </w:rPr>
        <w:t>G12V</w:t>
      </w:r>
      <w:r>
        <w:rPr>
          <w:rFonts w:ascii="Times New Roman" w:hAnsi="Times New Roman"/>
          <w:b w:val="false"/>
          <w:sz w:val="20"/>
        </w:rPr>
        <w:t>, or KRAS</w:t>
      </w:r>
      <w:r>
        <w:rPr>
          <w:rFonts w:ascii="Times New Roman" w:hAnsi="Times New Roman"/>
          <w:b w:val="false"/>
          <w:sz w:val="13"/>
        </w:rPr>
        <w:t>G12R</w:t>
      </w:r>
      <w:r>
        <w:rPr>
          <w:rFonts w:ascii="Times New Roman" w:hAnsi="Times New Roman"/>
          <w:sz w:val="20"/>
        </w:rPr>
        <w:t xml:space="preserve"> </w:t>
      </w:r>
      <w:r>
        <w:rPr>
          <w:rFonts w:ascii="Times New Roman" w:hAnsi="Times New Roman"/>
          <w:b w:val="false"/>
          <w:sz w:val="20"/>
        </w:rPr>
        <w:t>mutations continue to lack targeted therapy options. In total, KRAS</w:t>
      </w:r>
      <w:r>
        <w:rPr>
          <w:rFonts w:ascii="Times New Roman" w:hAnsi="Times New Roman"/>
          <w:b w:val="false"/>
          <w:sz w:val="13"/>
        </w:rPr>
        <w:t>G12X</w:t>
      </w:r>
      <w:r>
        <w:rPr>
          <w:rFonts w:ascii="Times New Roman" w:hAnsi="Times New Roman"/>
          <w:sz w:val="20"/>
        </w:rPr>
        <w:t xml:space="preserve"> </w:t>
      </w:r>
      <w:r>
        <w:rPr>
          <w:rFonts w:ascii="Times New Roman" w:hAnsi="Times New Roman"/>
          <w:b w:val="false"/>
          <w:sz w:val="20"/>
        </w:rPr>
        <w:t>mutations are found in 137,000 new patients per year in the U.S., indicating major unmet medical need in the cancer types for which RMC-6236 has demonstrated strong preclinical activity.</w:t>
      </w:r>
    </w:p>
    <w:p>
      <w:pPr>
        <w:pStyle w:val="TextBody"/>
        <w:spacing w:lineRule="auto" w:line="273" w:before="200" w:after="0"/>
        <w:jc w:val="left"/>
        <w:rPr>
          <w:rFonts w:ascii="Times New Roman" w:hAnsi="Times New Roman"/>
          <w:sz w:val="20"/>
        </w:rPr>
      </w:pPr>
      <w:r>
        <w:rPr>
          <w:rFonts w:ascii="Times New Roman" w:hAnsi="Times New Roman"/>
          <w:b w:val="false"/>
          <w:sz w:val="20"/>
        </w:rPr>
        <w:t>In the initial clinical development of RMC-6236, we plan to pursue development against KRAS</w:t>
      </w:r>
      <w:r>
        <w:rPr>
          <w:rFonts w:ascii="Times New Roman" w:hAnsi="Times New Roman"/>
          <w:b w:val="false"/>
          <w:sz w:val="13"/>
        </w:rPr>
        <w:t>G12X</w:t>
      </w:r>
      <w:r>
        <w:rPr>
          <w:rFonts w:ascii="Times New Roman" w:hAnsi="Times New Roman"/>
          <w:sz w:val="20"/>
        </w:rPr>
        <w:t xml:space="preserve"> </w:t>
      </w:r>
      <w:r>
        <w:rPr>
          <w:rFonts w:ascii="Times New Roman" w:hAnsi="Times New Roman"/>
          <w:b w:val="false"/>
          <w:sz w:val="20"/>
        </w:rPr>
        <w:t>tumors, focused on NSCLC, pancreatic and colorectal cancers.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20"/>
        </w:rPr>
        <w:t>RMC-6291</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RMC-6291 is designed as a first-in-class, potent, oral and selective tri-complex inhibitor of KRAS</w:t>
      </w:r>
      <w:r>
        <w:rPr>
          <w:rFonts w:ascii="Times New Roman" w:hAnsi="Times New Roman"/>
          <w:b w:val="false"/>
          <w:sz w:val="13"/>
        </w:rPr>
        <w:t>G12C</w:t>
      </w:r>
      <w:r>
        <w:rPr>
          <w:rFonts w:ascii="Times New Roman" w:hAnsi="Times New Roman"/>
          <w:b w:val="false"/>
          <w:sz w:val="20"/>
        </w:rPr>
        <w:t>(ON). It is designed to exhibit subnanomolar potency for suppressing RAS pathway signaling and growth of KRAS</w:t>
      </w:r>
      <w:r>
        <w:rPr>
          <w:rFonts w:ascii="Times New Roman" w:hAnsi="Times New Roman"/>
          <w:b w:val="false"/>
          <w:sz w:val="13"/>
        </w:rPr>
        <w:t>G12C</w:t>
      </w:r>
      <w:r>
        <w:rPr>
          <w:rFonts w:ascii="Times New Roman" w:hAnsi="Times New Roman"/>
          <w:b w:val="false"/>
          <w:sz w:val="20"/>
        </w:rPr>
        <w:t>-bearing cancer cells and is engineered to be highly selective for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over wild type RAS and other cellular targets. RMC-6291 is designed to be differentiated from first-generation KRAS</w:t>
      </w:r>
      <w:r>
        <w:rPr>
          <w:rFonts w:ascii="Times New Roman" w:hAnsi="Times New Roman"/>
          <w:b w:val="false"/>
          <w:sz w:val="13"/>
        </w:rPr>
        <w:t>G12C</w:t>
      </w:r>
      <w:r>
        <w:rPr>
          <w:rFonts w:ascii="Times New Roman" w:hAnsi="Times New Roman"/>
          <w:b w:val="false"/>
          <w:sz w:val="20"/>
        </w:rPr>
        <w:t>(OFF) inhibitors, which sequester the KRAS</w:t>
      </w:r>
      <w:r>
        <w:rPr>
          <w:rFonts w:ascii="Times New Roman" w:hAnsi="Times New Roman"/>
          <w:b w:val="false"/>
          <w:sz w:val="13"/>
        </w:rPr>
        <w:t>G12C</w:t>
      </w:r>
      <w:r>
        <w:rPr>
          <w:rFonts w:ascii="Times New Roman" w:hAnsi="Times New Roman"/>
          <w:b w:val="false"/>
          <w:sz w:val="20"/>
        </w:rPr>
        <w:t>(OFF) form, by its potential mechanism of directly inhibiting the KRAS</w:t>
      </w:r>
      <w:r>
        <w:rPr>
          <w:rFonts w:ascii="Times New Roman" w:hAnsi="Times New Roman"/>
          <w:b w:val="false"/>
          <w:sz w:val="13"/>
        </w:rPr>
        <w:t>G12C</w:t>
      </w:r>
      <w:r>
        <w:rPr>
          <w:rFonts w:ascii="Times New Roman" w:hAnsi="Times New Roman"/>
          <w:b w:val="false"/>
          <w:sz w:val="20"/>
        </w:rPr>
        <w:t>(ON) form. We believe direct inhibition of the ON form offers important biological advantages, including more rapid termination of RAS signaling and more robust inhibition in the face of known resistance mechanisms.</w:t>
      </w:r>
    </w:p>
    <w:p>
      <w:pPr>
        <w:pStyle w:val="TextBody"/>
        <w:spacing w:lineRule="auto" w:line="273" w:before="200" w:after="0"/>
        <w:jc w:val="left"/>
        <w:rPr>
          <w:rFonts w:ascii="Times New Roman" w:hAnsi="Times New Roman"/>
          <w:sz w:val="20"/>
        </w:rPr>
      </w:pPr>
      <w:r>
        <w:rPr>
          <w:rFonts w:ascii="Times New Roman" w:hAnsi="Times New Roman"/>
          <w:b w:val="false"/>
          <w:sz w:val="20"/>
        </w:rPr>
        <w:t>While KRAS</w:t>
      </w:r>
      <w:r>
        <w:rPr>
          <w:rFonts w:ascii="Times New Roman" w:hAnsi="Times New Roman"/>
          <w:b w:val="false"/>
          <w:sz w:val="13"/>
        </w:rPr>
        <w:t>G12C</w:t>
      </w:r>
      <w:r>
        <w:rPr>
          <w:rFonts w:ascii="Times New Roman" w:hAnsi="Times New Roman"/>
          <w:b w:val="false"/>
          <w:sz w:val="20"/>
        </w:rPr>
        <w:t>(OFF) inhibitors have validated the target and changed the treatment landscape for patients with cancers bearing KRAS</w:t>
      </w:r>
      <w:r>
        <w:rPr>
          <w:rFonts w:ascii="Times New Roman" w:hAnsi="Times New Roman"/>
          <w:b w:val="false"/>
          <w:sz w:val="13"/>
        </w:rPr>
        <w:t>G12C</w:t>
      </w:r>
      <w:r>
        <w:rPr>
          <w:rFonts w:ascii="Times New Roman" w:hAnsi="Times New Roman"/>
          <w:b w:val="false"/>
          <w:sz w:val="20"/>
        </w:rPr>
        <w:t>, significant unmet medical need remains. In NSCLC, KRAS</w:t>
      </w:r>
      <w:r>
        <w:rPr>
          <w:rFonts w:ascii="Times New Roman" w:hAnsi="Times New Roman"/>
          <w:b w:val="false"/>
          <w:sz w:val="13"/>
        </w:rPr>
        <w:t>G12C</w:t>
      </w:r>
      <w:r>
        <w:rPr>
          <w:rFonts w:ascii="Times New Roman" w:hAnsi="Times New Roman"/>
          <w:b w:val="false"/>
          <w:sz w:val="20"/>
        </w:rPr>
        <w:t>(OFF) inhibitor single agent response rates are less than 50%, and the vast majority of patients are expected to progress on therapy within a year. We believe RMC-6291 has the potential to improve on the KRAS</w:t>
      </w:r>
      <w:r>
        <w:rPr>
          <w:rFonts w:ascii="Times New Roman" w:hAnsi="Times New Roman"/>
          <w:b w:val="false"/>
          <w:sz w:val="13"/>
        </w:rPr>
        <w:t>G12C</w:t>
      </w:r>
      <w:r>
        <w:rPr>
          <w:rFonts w:ascii="Times New Roman" w:hAnsi="Times New Roman"/>
          <w:b w:val="false"/>
          <w:sz w:val="20"/>
        </w:rPr>
        <w:t xml:space="preserve">(OFF) inhibitor class. In a series of </w:t>
      </w:r>
      <w:r>
        <w:rPr>
          <w:rFonts w:ascii="Times New Roman" w:hAnsi="Times New Roman"/>
          <w:b w:val="false"/>
          <w:i/>
          <w:sz w:val="20"/>
        </w:rPr>
        <w:t>in vivo</w:t>
      </w:r>
      <w:r>
        <w:rPr>
          <w:rFonts w:ascii="Times New Roman" w:hAnsi="Times New Roman"/>
          <w:sz w:val="20"/>
        </w:rPr>
        <w:t xml:space="preserve"> </w:t>
      </w:r>
      <w:r>
        <w:rPr>
          <w:rFonts w:ascii="Times New Roman" w:hAnsi="Times New Roman"/>
          <w:b w:val="false"/>
          <w:sz w:val="20"/>
        </w:rPr>
        <w:t>tumor xenograft studies, RMC-6291 outperformed adagrasib, a representative KRAS</w:t>
      </w:r>
      <w:r>
        <w:rPr>
          <w:rFonts w:ascii="Times New Roman" w:hAnsi="Times New Roman"/>
          <w:b w:val="false"/>
          <w:sz w:val="13"/>
        </w:rPr>
        <w:t>G12C</w:t>
      </w:r>
      <w:r>
        <w:rPr>
          <w:rFonts w:ascii="Times New Roman" w:hAnsi="Times New Roman"/>
          <w:b w:val="false"/>
          <w:sz w:val="20"/>
        </w:rPr>
        <w:t>(OFF) inhibitor, across 25 models of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NSCLC (Figure 3). Within this set of experiments, we observed examples of RMC-6291 driving increased rate, depth and/or duration of response (Figure 4).</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Figure 3. RMC-6291 drove superior outcomes in a mouse clinical trial with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NSCLC models.</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829300" cy="2038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29300" cy="2038350"/>
                    </a:xfrm>
                    <a:prstGeom prst="rect">
                      <a:avLst/>
                    </a:prstGeom>
                  </pic:spPr>
                </pic:pic>
              </a:graphicData>
            </a:graphic>
          </wp:inline>
        </w:drawing>
      </w:r>
      <w:r>
        <w:rPr/>
        <w:t> </w:t>
      </w:r>
    </w:p>
    <w:p>
      <w:pPr>
        <w:pStyle w:val="TextBody"/>
        <w:spacing w:lineRule="auto" w:line="273" w:before="120" w:after="0"/>
        <w:jc w:val="left"/>
        <w:rPr>
          <w:rFonts w:ascii="Times New Roman" w:hAnsi="Times New Roman"/>
          <w:sz w:val="20"/>
        </w:rPr>
      </w:pPr>
      <w:r>
        <w:rPr>
          <w:rFonts w:ascii="Times New Roman" w:hAnsi="Times New Roman"/>
          <w:b w:val="false"/>
          <w:i/>
          <w:sz w:val="15"/>
        </w:rPr>
        <w:t>In vivo</w:t>
      </w:r>
      <w:r>
        <w:rPr>
          <w:rFonts w:ascii="Times New Roman" w:hAnsi="Times New Roman"/>
          <w:sz w:val="20"/>
        </w:rPr>
        <w:t xml:space="preserve"> </w:t>
      </w:r>
      <w:r>
        <w:rPr>
          <w:rFonts w:ascii="Times New Roman" w:hAnsi="Times New Roman"/>
          <w:b w:val="false"/>
          <w:sz w:val="15"/>
        </w:rPr>
        <w:t>characterization of the effect of RMC-6291 on the growth of KRAS</w:t>
      </w:r>
      <w:r>
        <w:rPr>
          <w:rFonts w:ascii="Times New Roman" w:hAnsi="Times New Roman"/>
          <w:b w:val="false"/>
          <w:sz w:val="10"/>
        </w:rPr>
        <w:t>G12C</w:t>
      </w:r>
      <w:r>
        <w:rPr>
          <w:rFonts w:ascii="Times New Roman" w:hAnsi="Times New Roman"/>
          <w:sz w:val="20"/>
        </w:rPr>
        <w:t xml:space="preserve"> </w:t>
      </w:r>
      <w:r>
        <w:rPr>
          <w:rFonts w:ascii="Times New Roman" w:hAnsi="Times New Roman"/>
          <w:b w:val="false"/>
          <w:sz w:val="15"/>
        </w:rPr>
        <w:t>NSCLC models. RMC-6291 and adagrasib were administered at approximately molar equivalent doses (RMC-6291 is roughly twice the molecular weight of adagrasib). RMC-6291 was dosed at 200 mg/kg po qd. Adagrasib was dosed at 100 mg/kg po qd. n=3-10/group.</w:t>
      </w:r>
      <w:r>
        <w:rPr>
          <w:rFonts w:ascii="Times New Roman" w:hAnsi="Times New Roman"/>
          <w:sz w:val="20"/>
        </w:rPr>
        <w:t xml:space="preserve"> </w:t>
      </w:r>
      <w:r>
        <w:rPr>
          <w:rFonts w:ascii="Times New Roman" w:hAnsi="Times New Roman"/>
          <w:b w:val="false"/>
          <w:sz w:val="15"/>
        </w:rPr>
        <w:t>NSCLC = non-small cell lung cancer. Responses assigned according to mRECIST (modified from Gao et al. Nat Med. 2015). ORR = objective response rate; DCR = disease control rate.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Figure 4. RMC-6291 drove increased rate, depth, and duration of response in a mouse clinical trial with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NSCLC models.</w:t>
      </w:r>
    </w:p>
    <w:p>
      <w:pPr>
        <w:pStyle w:val="TextBody"/>
        <w:spacing w:lineRule="auto" w:line="273" w:before="120" w:after="0"/>
        <w:jc w:val="center"/>
        <w:rPr/>
      </w:pPr>
      <w:r>
        <w:rPr/>
        <w:drawing>
          <wp:inline distT="0" distB="0" distL="0" distR="0">
            <wp:extent cx="6858000" cy="2143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2143125"/>
                    </a:xfrm>
                    <a:prstGeom prst="rect">
                      <a:avLst/>
                    </a:prstGeom>
                  </pic:spPr>
                </pic:pic>
              </a:graphicData>
            </a:graphic>
          </wp:inline>
        </w:drawing>
      </w:r>
      <w:r>
        <w:rPr/>
        <w:t> </w:t>
      </w:r>
    </w:p>
    <w:p>
      <w:pPr>
        <w:pStyle w:val="TextBody"/>
        <w:spacing w:lineRule="auto" w:line="273" w:before="120" w:after="0"/>
        <w:jc w:val="left"/>
        <w:rPr>
          <w:rFonts w:ascii="Times New Roman" w:hAnsi="Times New Roman"/>
          <w:sz w:val="20"/>
        </w:rPr>
      </w:pPr>
      <w:r>
        <w:rPr>
          <w:rFonts w:ascii="Times New Roman" w:hAnsi="Times New Roman"/>
          <w:b w:val="false"/>
          <w:i/>
          <w:sz w:val="15"/>
        </w:rPr>
        <w:t>In vivo</w:t>
      </w:r>
      <w:r>
        <w:rPr>
          <w:rFonts w:ascii="Times New Roman" w:hAnsi="Times New Roman"/>
          <w:sz w:val="20"/>
        </w:rPr>
        <w:t xml:space="preserve"> </w:t>
      </w:r>
      <w:r>
        <w:rPr>
          <w:rFonts w:ascii="Times New Roman" w:hAnsi="Times New Roman"/>
          <w:b w:val="false"/>
          <w:sz w:val="15"/>
        </w:rPr>
        <w:t>characterization of the effect of RMC-6291 on the growth of KRAS</w:t>
      </w:r>
      <w:r>
        <w:rPr>
          <w:rFonts w:ascii="Times New Roman" w:hAnsi="Times New Roman"/>
          <w:b w:val="false"/>
          <w:sz w:val="10"/>
        </w:rPr>
        <w:t>G12C</w:t>
      </w:r>
      <w:r>
        <w:rPr>
          <w:rFonts w:ascii="Times New Roman" w:hAnsi="Times New Roman"/>
          <w:sz w:val="20"/>
        </w:rPr>
        <w:t xml:space="preserve"> </w:t>
      </w:r>
      <w:r>
        <w:rPr>
          <w:rFonts w:ascii="Times New Roman" w:hAnsi="Times New Roman"/>
          <w:b w:val="false"/>
          <w:sz w:val="15"/>
        </w:rPr>
        <w:t>NSCLC models. RMC-6291 and adagrasib were administered at approximately molar equivalent doses (RMC-6291 is roughly twice the molecular weight of adagrasib). RMC-6291 was dosed at 200 mg/kg po qd. Adagrasib was dosed at 100 mg/kg po qd. PDX Models: (a) LUN055; (b) LXFA-983; (c) CTG-0828 N=3-10/group.</w:t>
      </w:r>
      <w:r>
        <w:rPr>
          <w:rFonts w:ascii="Times New Roman" w:hAnsi="Times New Roman"/>
          <w:sz w:val="20"/>
        </w:rPr>
        <w:t xml:space="preserve"> </w:t>
      </w:r>
      <w:r>
        <w:rPr>
          <w:rFonts w:ascii="Times New Roman" w:hAnsi="Times New Roman"/>
          <w:b w:val="false"/>
          <w:sz w:val="15"/>
        </w:rPr>
        <w:t>NSCLC = non-small cell lung cancer.</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the initial clinical development of RMC-6291, we plan to pursue best-in-class activity against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tumors, focused on NSCLC, pancreatic and colorectal cancers.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RMC-9805</w:t>
      </w:r>
    </w:p>
    <w:p>
      <w:pPr>
        <w:pStyle w:val="TextBody"/>
        <w:spacing w:lineRule="auto" w:line="273" w:before="200" w:after="0"/>
        <w:jc w:val="left"/>
        <w:rPr>
          <w:rFonts w:ascii="Times New Roman" w:hAnsi="Times New Roman"/>
          <w:sz w:val="20"/>
        </w:rPr>
      </w:pPr>
      <w:r>
        <w:rPr>
          <w:rFonts w:ascii="Times New Roman" w:hAnsi="Times New Roman"/>
          <w:b w:val="false"/>
          <w:sz w:val="20"/>
        </w:rPr>
        <w:t>RMC-9805 is designed as a first-in-class, potent, oral and selective tri-complex inhibitor of KRAS</w:t>
      </w:r>
      <w:r>
        <w:rPr>
          <w:rFonts w:ascii="Times New Roman" w:hAnsi="Times New Roman"/>
          <w:b w:val="false"/>
          <w:sz w:val="13"/>
        </w:rPr>
        <w:t>G12D</w:t>
      </w:r>
      <w:r>
        <w:rPr>
          <w:rFonts w:ascii="Times New Roman" w:hAnsi="Times New Roman"/>
          <w:b w:val="false"/>
          <w:sz w:val="20"/>
        </w:rPr>
        <w:t>(ON). It is designed to exhibit low nanomolar potency for suppressing RAS pathway signaling and growth of KRAS</w:t>
      </w:r>
      <w:r>
        <w:rPr>
          <w:rFonts w:ascii="Times New Roman" w:hAnsi="Times New Roman"/>
          <w:b w:val="false"/>
          <w:sz w:val="13"/>
        </w:rPr>
        <w:t>G12D</w:t>
      </w:r>
      <w:r>
        <w:rPr>
          <w:rFonts w:ascii="Times New Roman" w:hAnsi="Times New Roman"/>
          <w:b w:val="false"/>
          <w:sz w:val="20"/>
        </w:rPr>
        <w:t>-bearing cancer cells and is engineered to covalently inactivate KRAS</w:t>
      </w:r>
      <w:r>
        <w:rPr>
          <w:rFonts w:ascii="Times New Roman" w:hAnsi="Times New Roman"/>
          <w:b w:val="false"/>
          <w:sz w:val="13"/>
        </w:rPr>
        <w:t>G12D</w:t>
      </w:r>
      <w:r>
        <w:rPr>
          <w:rFonts w:ascii="Times New Roman" w:hAnsi="Times New Roman"/>
          <w:sz w:val="20"/>
        </w:rPr>
        <w:t xml:space="preserve"> </w:t>
      </w:r>
      <w:r>
        <w:rPr>
          <w:rFonts w:ascii="Times New Roman" w:hAnsi="Times New Roman"/>
          <w:b w:val="false"/>
          <w:sz w:val="20"/>
        </w:rPr>
        <w:t>for irreversible inhibition. To our knowledge, RMC-9805 is the first ever drug candidate that covalently modified an aspartic acid residue in preclinical studies.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Specifically, RMC-9805 was observed to covalently modify KRAS</w:t>
      </w:r>
      <w:r>
        <w:rPr>
          <w:rFonts w:ascii="Times New Roman" w:hAnsi="Times New Roman"/>
          <w:b w:val="false"/>
          <w:sz w:val="13"/>
        </w:rPr>
        <w:t>G12D</w:t>
      </w:r>
      <w:r>
        <w:rPr>
          <w:rFonts w:ascii="Times New Roman" w:hAnsi="Times New Roman"/>
          <w:sz w:val="20"/>
        </w:rPr>
        <w:t xml:space="preserve"> </w:t>
      </w:r>
      <w:r>
        <w:rPr>
          <w:rFonts w:ascii="Times New Roman" w:hAnsi="Times New Roman"/>
          <w:b w:val="false"/>
          <w:sz w:val="20"/>
        </w:rPr>
        <w:t xml:space="preserve">in a highly selective manner, and achieve deep and durable inhibition of RAS pathway signaling </w:t>
      </w:r>
      <w:r>
        <w:rPr>
          <w:rFonts w:ascii="Times New Roman" w:hAnsi="Times New Roman"/>
          <w:b w:val="false"/>
          <w:i/>
          <w:sz w:val="20"/>
        </w:rPr>
        <w:t>in vivo</w:t>
      </w:r>
      <w:r>
        <w:rPr>
          <w:rFonts w:ascii="Times New Roman" w:hAnsi="Times New Roman"/>
          <w:sz w:val="20"/>
        </w:rPr>
        <w:t xml:space="preserve"> </w:t>
      </w:r>
      <w:r>
        <w:rPr>
          <w:rFonts w:ascii="Times New Roman" w:hAnsi="Times New Roman"/>
          <w:b w:val="false"/>
          <w:sz w:val="20"/>
        </w:rPr>
        <w:t>in xenograft models of KRAS</w:t>
      </w:r>
      <w:r>
        <w:rPr>
          <w:rFonts w:ascii="Times New Roman" w:hAnsi="Times New Roman"/>
          <w:b w:val="false"/>
          <w:sz w:val="13"/>
        </w:rPr>
        <w:t>G12D</w:t>
      </w:r>
      <w:r>
        <w:rPr>
          <w:rFonts w:ascii="Times New Roman" w:hAnsi="Times New Roman"/>
          <w:sz w:val="20"/>
        </w:rPr>
        <w:t xml:space="preserve"> </w:t>
      </w:r>
      <w:r>
        <w:rPr>
          <w:rFonts w:ascii="Times New Roman" w:hAnsi="Times New Roman"/>
          <w:b w:val="false"/>
          <w:sz w:val="20"/>
        </w:rPr>
        <w:t>pancreatic and colorectal cancers (Figure 5).</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Figure 5. RMC-9805 drove selective, covalent, and sustained inhibition of KRAS</w:t>
      </w:r>
      <w:r>
        <w:rPr>
          <w:rFonts w:ascii="Times New Roman" w:hAnsi="Times New Roman"/>
          <w:b w:val="false"/>
          <w:sz w:val="13"/>
        </w:rPr>
        <w:t>G12D</w:t>
      </w:r>
      <w:r>
        <w:rPr>
          <w:rFonts w:ascii="Times New Roman" w:hAnsi="Times New Roman"/>
          <w:sz w:val="20"/>
        </w:rPr>
        <w:t xml:space="preserve"> </w:t>
      </w:r>
      <w:r>
        <w:rPr>
          <w:rFonts w:ascii="Times New Roman" w:hAnsi="Times New Roman"/>
          <w:b w:val="false"/>
          <w:sz w:val="20"/>
        </w:rPr>
        <w:t>and tumor regressions in models of KRAS</w:t>
      </w:r>
      <w:r>
        <w:rPr>
          <w:rFonts w:ascii="Times New Roman" w:hAnsi="Times New Roman"/>
          <w:b w:val="false"/>
          <w:sz w:val="13"/>
        </w:rPr>
        <w:t>G12D</w:t>
      </w:r>
      <w:r>
        <w:rPr>
          <w:rFonts w:ascii="Times New Roman" w:hAnsi="Times New Roman"/>
          <w:sz w:val="20"/>
        </w:rPr>
        <w:t xml:space="preserve"> </w:t>
      </w:r>
      <w:r>
        <w:rPr>
          <w:rFonts w:ascii="Times New Roman" w:hAnsi="Times New Roman"/>
          <w:b w:val="false"/>
          <w:sz w:val="20"/>
        </w:rPr>
        <w:t>cancers.</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3886200" cy="2428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886200" cy="2428875"/>
                    </a:xfrm>
                    <a:prstGeom prst="rect">
                      <a:avLst/>
                    </a:prstGeom>
                  </pic:spPr>
                </pic:pic>
              </a:graphicData>
            </a:graphic>
          </wp:inline>
        </w:drawing>
      </w:r>
      <w:r>
        <w:rPr/>
        <w:t> </w:t>
      </w:r>
    </w:p>
    <w:p>
      <w:pPr>
        <w:pStyle w:val="TextBody"/>
        <w:spacing w:lineRule="auto" w:line="273" w:before="120" w:after="0"/>
        <w:jc w:val="left"/>
        <w:rPr>
          <w:rFonts w:ascii="Times New Roman" w:hAnsi="Times New Roman"/>
          <w:sz w:val="20"/>
        </w:rPr>
      </w:pPr>
      <w:r>
        <w:rPr>
          <w:rFonts w:ascii="Times New Roman" w:hAnsi="Times New Roman"/>
          <w:b w:val="false"/>
          <w:sz w:val="15"/>
        </w:rPr>
        <w:t>Preclinical characterization of the effect of RMC-9805 on models of KRAS</w:t>
      </w:r>
      <w:r>
        <w:rPr>
          <w:rFonts w:ascii="Times New Roman" w:hAnsi="Times New Roman"/>
          <w:b w:val="false"/>
          <w:sz w:val="10"/>
        </w:rPr>
        <w:t>G12D</w:t>
      </w:r>
      <w:r>
        <w:rPr>
          <w:rFonts w:ascii="Times New Roman" w:hAnsi="Times New Roman"/>
          <w:sz w:val="20"/>
        </w:rPr>
        <w:t xml:space="preserve"> </w:t>
      </w:r>
      <w:r>
        <w:rPr>
          <w:rFonts w:ascii="Times New Roman" w:hAnsi="Times New Roman"/>
          <w:b w:val="false"/>
          <w:sz w:val="15"/>
        </w:rPr>
        <w:t>cancers. RMC-9805 was dosed at 100 mg/kg po qd. n = 10/group (top right), 6/group (bottom right); PDAC = pancreatic ductal adenocarcinoma; CRC = colorectal cancer.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RMC-8839</w:t>
      </w:r>
    </w:p>
    <w:p>
      <w:pPr>
        <w:pStyle w:val="TextBody"/>
        <w:spacing w:lineRule="auto" w:line="273" w:before="200" w:after="0"/>
        <w:jc w:val="left"/>
        <w:rPr>
          <w:rFonts w:ascii="Times New Roman" w:hAnsi="Times New Roman"/>
          <w:sz w:val="20"/>
        </w:rPr>
      </w:pPr>
      <w:r>
        <w:rPr>
          <w:rFonts w:ascii="Times New Roman" w:hAnsi="Times New Roman"/>
          <w:b w:val="false"/>
          <w:sz w:val="20"/>
        </w:rPr>
        <w:t>RMC-8839 is designed as a first-in-class, potent, oral and selective tri-complex inhibitor of KRAS</w:t>
      </w:r>
      <w:r>
        <w:rPr>
          <w:rFonts w:ascii="Times New Roman" w:hAnsi="Times New Roman"/>
          <w:b w:val="false"/>
          <w:sz w:val="13"/>
        </w:rPr>
        <w:t>G13C</w:t>
      </w:r>
      <w:r>
        <w:rPr>
          <w:rFonts w:ascii="Times New Roman" w:hAnsi="Times New Roman"/>
          <w:b w:val="false"/>
          <w:sz w:val="20"/>
        </w:rPr>
        <w:t>(ON). It is designed to exhibit picomolar potency for suppressing RAS pathway signaling and growth of KRAS</w:t>
      </w:r>
      <w:r>
        <w:rPr>
          <w:rFonts w:ascii="Times New Roman" w:hAnsi="Times New Roman"/>
          <w:b w:val="false"/>
          <w:sz w:val="13"/>
        </w:rPr>
        <w:t>G13C</w:t>
      </w:r>
      <w:r>
        <w:rPr>
          <w:rFonts w:ascii="Times New Roman" w:hAnsi="Times New Roman"/>
          <w:b w:val="false"/>
          <w:sz w:val="20"/>
        </w:rPr>
        <w:t>-bearing cancer cells and is engineered to covalently inactivate KRAS</w:t>
      </w:r>
      <w:r>
        <w:rPr>
          <w:rFonts w:ascii="Times New Roman" w:hAnsi="Times New Roman"/>
          <w:b w:val="false"/>
          <w:sz w:val="13"/>
        </w:rPr>
        <w:t>G13C</w:t>
      </w:r>
      <w:r>
        <w:rPr>
          <w:rFonts w:ascii="Times New Roman" w:hAnsi="Times New Roman"/>
          <w:sz w:val="20"/>
        </w:rPr>
        <w:t xml:space="preserve"> </w:t>
      </w:r>
      <w:r>
        <w:rPr>
          <w:rFonts w:ascii="Times New Roman" w:hAnsi="Times New Roman"/>
          <w:b w:val="false"/>
          <w:sz w:val="20"/>
        </w:rPr>
        <w:t>for irreversible inhibition.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preclinical studies, RMC-8839 was observed to covalently modify KRAS</w:t>
      </w:r>
      <w:r>
        <w:rPr>
          <w:rFonts w:ascii="Times New Roman" w:hAnsi="Times New Roman"/>
          <w:b w:val="false"/>
          <w:sz w:val="13"/>
        </w:rPr>
        <w:t>G13C</w:t>
      </w:r>
      <w:r>
        <w:rPr>
          <w:rFonts w:ascii="Times New Roman" w:hAnsi="Times New Roman"/>
          <w:sz w:val="20"/>
        </w:rPr>
        <w:t xml:space="preserve"> </w:t>
      </w:r>
      <w:r>
        <w:rPr>
          <w:rFonts w:ascii="Times New Roman" w:hAnsi="Times New Roman"/>
          <w:b w:val="false"/>
          <w:sz w:val="20"/>
        </w:rPr>
        <w:t xml:space="preserve">in a highly selective manner, and achieve deep and durable inhibition of RAS pathway signaling </w:t>
      </w:r>
      <w:r>
        <w:rPr>
          <w:rFonts w:ascii="Times New Roman" w:hAnsi="Times New Roman"/>
          <w:b w:val="false"/>
          <w:i/>
          <w:sz w:val="20"/>
        </w:rPr>
        <w:t>in vivo</w:t>
      </w:r>
      <w:r>
        <w:rPr>
          <w:rFonts w:ascii="Times New Roman" w:hAnsi="Times New Roman"/>
          <w:sz w:val="20"/>
        </w:rPr>
        <w:t xml:space="preserve"> </w:t>
      </w:r>
      <w:r>
        <w:rPr>
          <w:rFonts w:ascii="Times New Roman" w:hAnsi="Times New Roman"/>
          <w:b w:val="false"/>
          <w:sz w:val="20"/>
        </w:rPr>
        <w:t>xenograft model of KRAS</w:t>
      </w:r>
      <w:r>
        <w:rPr>
          <w:rFonts w:ascii="Times New Roman" w:hAnsi="Times New Roman"/>
          <w:b w:val="false"/>
          <w:sz w:val="13"/>
        </w:rPr>
        <w:t>G13C</w:t>
      </w:r>
      <w:r>
        <w:rPr>
          <w:rFonts w:ascii="Times New Roman" w:hAnsi="Times New Roman"/>
          <w:sz w:val="20"/>
        </w:rPr>
        <w:t xml:space="preserve"> </w:t>
      </w:r>
      <w:r>
        <w:rPr>
          <w:rFonts w:ascii="Times New Roman" w:hAnsi="Times New Roman"/>
          <w:b w:val="false"/>
          <w:sz w:val="20"/>
        </w:rPr>
        <w:t>NSCLC (Figure 6).</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Figure 6. RMC-8839 drove selective, covalent, and sustained inhibition of KRAS</w:t>
      </w:r>
      <w:r>
        <w:rPr>
          <w:rFonts w:ascii="Times New Roman" w:hAnsi="Times New Roman"/>
          <w:b w:val="false"/>
          <w:sz w:val="13"/>
        </w:rPr>
        <w:t>G13C</w:t>
      </w:r>
      <w:r>
        <w:rPr>
          <w:rFonts w:ascii="Times New Roman" w:hAnsi="Times New Roman"/>
          <w:sz w:val="20"/>
        </w:rPr>
        <w:t xml:space="preserve"> </w:t>
      </w:r>
      <w:r>
        <w:rPr>
          <w:rFonts w:ascii="Times New Roman" w:hAnsi="Times New Roman"/>
          <w:b w:val="false"/>
          <w:sz w:val="20"/>
        </w:rPr>
        <w:t>and tumor regressions in models of KRAS</w:t>
      </w:r>
      <w:r>
        <w:rPr>
          <w:rFonts w:ascii="Times New Roman" w:hAnsi="Times New Roman"/>
          <w:b w:val="false"/>
          <w:sz w:val="13"/>
        </w:rPr>
        <w:t>G13C</w:t>
      </w:r>
      <w:r>
        <w:rPr>
          <w:rFonts w:ascii="Times New Roman" w:hAnsi="Times New Roman"/>
          <w:sz w:val="20"/>
        </w:rPr>
        <w:t xml:space="preserve"> </w:t>
      </w:r>
      <w:r>
        <w:rPr>
          <w:rFonts w:ascii="Times New Roman" w:hAnsi="Times New Roman"/>
          <w:b w:val="false"/>
          <w:sz w:val="20"/>
        </w:rPr>
        <w:t>cancers.</w:t>
      </w:r>
    </w:p>
    <w:p>
      <w:pPr>
        <w:pStyle w:val="TextBody"/>
        <w:spacing w:lineRule="auto" w:line="273" w:before="0" w:after="0"/>
        <w:jc w:val="left"/>
        <w:rPr/>
      </w:pPr>
      <w:r>
        <w:rPr/>
        <w:t> </w:t>
      </w:r>
    </w:p>
    <w:p>
      <w:pPr>
        <w:pStyle w:val="TextBody"/>
        <w:spacing w:lineRule="auto" w:line="273" w:before="120" w:after="0"/>
        <w:jc w:val="center"/>
        <w:rPr/>
      </w:pPr>
      <w:r>
        <w:rPr/>
        <w:drawing>
          <wp:inline distT="0" distB="0" distL="0" distR="0">
            <wp:extent cx="3886200" cy="2200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886200" cy="2200275"/>
                    </a:xfrm>
                    <a:prstGeom prst="rect">
                      <a:avLst/>
                    </a:prstGeom>
                  </pic:spPr>
                </pic:pic>
              </a:graphicData>
            </a:graphic>
          </wp:inline>
        </w:drawing>
      </w:r>
      <w:r>
        <w:rPr/>
        <w:t> </w:t>
      </w:r>
    </w:p>
    <w:p>
      <w:pPr>
        <w:pStyle w:val="TextBody"/>
        <w:spacing w:lineRule="auto" w:line="273" w:before="120" w:after="0"/>
        <w:jc w:val="left"/>
        <w:rPr>
          <w:rFonts w:ascii="Times New Roman" w:hAnsi="Times New Roman"/>
          <w:sz w:val="20"/>
        </w:rPr>
      </w:pPr>
      <w:r>
        <w:rPr>
          <w:rFonts w:ascii="Times New Roman" w:hAnsi="Times New Roman"/>
          <w:b w:val="false"/>
          <w:sz w:val="15"/>
        </w:rPr>
        <w:t>Preclinical characterization of the effect of RMC-8839 on models of KRAS</w:t>
      </w:r>
      <w:r>
        <w:rPr>
          <w:rFonts w:ascii="Times New Roman" w:hAnsi="Times New Roman"/>
          <w:b w:val="false"/>
          <w:sz w:val="10"/>
        </w:rPr>
        <w:t>G13C</w:t>
      </w:r>
      <w:r>
        <w:rPr>
          <w:rFonts w:ascii="Times New Roman" w:hAnsi="Times New Roman"/>
          <w:sz w:val="20"/>
        </w:rPr>
        <w:t xml:space="preserve"> </w:t>
      </w:r>
      <w:r>
        <w:rPr>
          <w:rFonts w:ascii="Times New Roman" w:hAnsi="Times New Roman"/>
          <w:b w:val="false"/>
          <w:sz w:val="15"/>
        </w:rPr>
        <w:t>cancers. RMC-8839 was dosed at 100 mg/kg po qd. n = 5/group; NSCLC = Non-small cell lung cancer.</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RAS Companion Inhibitors</w:t>
      </w:r>
      <w:r>
        <w:rPr>
          <w:rFonts w:ascii="Times New Roman" w:hAnsi="Times New Roman"/>
          <w:sz w:val="20"/>
        </w:rPr>
        <w:t xml:space="preserve"> </w:t>
      </w:r>
    </w:p>
    <w:p>
      <w:pPr>
        <w:pStyle w:val="TextBody"/>
        <w:spacing w:lineRule="auto" w:line="273" w:before="200" w:after="0"/>
        <w:jc w:val="left"/>
        <w:rPr>
          <w:rFonts w:ascii="Times New Roman" w:hAnsi="Times New Roman"/>
          <w:b w:val="false"/>
          <w:i/>
          <w:sz w:val="20"/>
        </w:rPr>
      </w:pPr>
      <w:r>
        <w:rPr>
          <w:rFonts w:ascii="Times New Roman" w:hAnsi="Times New Roman"/>
          <w:b w:val="false"/>
          <w:i/>
          <w:sz w:val="20"/>
        </w:rPr>
        <w:t>Overview</w:t>
      </w:r>
    </w:p>
    <w:p>
      <w:pPr>
        <w:pStyle w:val="TextBody"/>
        <w:spacing w:lineRule="auto" w:line="273" w:before="200" w:after="0"/>
        <w:jc w:val="left"/>
        <w:rPr>
          <w:rFonts w:ascii="Times New Roman" w:hAnsi="Times New Roman"/>
          <w:sz w:val="20"/>
        </w:rPr>
      </w:pPr>
      <w:r>
        <w:rPr>
          <w:rFonts w:ascii="Times New Roman" w:hAnsi="Times New Roman"/>
          <w:b w:val="false"/>
          <w:sz w:val="20"/>
        </w:rPr>
        <w:t>Our RAS Companion Inhibitors are designed to suppress cooperating targets and pathways that sustain RAS-addicted cancers. Each of our RAS Companion Inhibitors, when administered in combination with a RAS inhibitor, may provide deeper and more durable suppression of RAS cancer signaling, helping to maximize clinical benefit for patients with RAS cancers. RMC-4630, our most advanced RAS Companion Inhibitor, is designed to be a potent and selective inhibitor of SHP2 and to suppress resistance to RAS inhibition through inhibition of cooperating RAS pathway signaling. In collaboration with Sanofi, we are evaluating RMC-4630 in a multi-cohort Phase 1/2 clinical program. RMC-5552 is designed to be a potent and selective inhibitor of mTORC1/4EBP1 and to suppress resistance to RAS inhibition through inhibition of cooperating mTORC1 pathway signaling. RMC-5552 is under clinical evaluation in a Phase 1 dose escalation program. RMC-5845, our investigational SOS1 inhibitor, is designed to suppress resistance to RAS inhibition through inhibition of cooperating RAS pathway signaling. RMC-5552 is under clinical evaluation in a Phase 1 dose escalation program. RMC-5845, our potent and selective SOS1 inhibitor, is designed to suppress resistance to RAS inhibition through inhibition of cooperating RAS pathway signaling.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RMC-4630</w:t>
      </w:r>
    </w:p>
    <w:p>
      <w:pPr>
        <w:pStyle w:val="TextBody"/>
        <w:spacing w:lineRule="auto" w:line="273" w:before="200" w:after="0"/>
        <w:jc w:val="left"/>
        <w:rPr>
          <w:rFonts w:ascii="Times New Roman" w:hAnsi="Times New Roman"/>
          <w:sz w:val="20"/>
        </w:rPr>
      </w:pPr>
      <w:r>
        <w:rPr>
          <w:rFonts w:ascii="Times New Roman" w:hAnsi="Times New Roman"/>
          <w:b w:val="false"/>
          <w:sz w:val="20"/>
        </w:rPr>
        <w:t>Our RAS Companion Inhibitor RMC-4630 is designed as a potent and selective inhibitor of SHP2, a central node in the RAS signaling pathway. In our monotherapy dose escalation study (RMC-4630-01), we have observed that RMC-4630 was a clinically active SHP2 inhibitor, with broad anti-tumor effects, including a confirmed partial response in a patient with NSCLC bearing a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mutation and a complete response in a patient with uterine cancer bearing an NF1</w:t>
      </w:r>
      <w:r>
        <w:rPr>
          <w:rFonts w:ascii="Times New Roman" w:hAnsi="Times New Roman"/>
          <w:b w:val="false"/>
          <w:sz w:val="13"/>
        </w:rPr>
        <w:t>LOF</w:t>
      </w:r>
      <w:r>
        <w:rPr>
          <w:rFonts w:ascii="Times New Roman" w:hAnsi="Times New Roman"/>
          <w:sz w:val="20"/>
        </w:rPr>
        <w:t xml:space="preserve"> </w:t>
      </w:r>
      <w:r>
        <w:rPr>
          <w:rFonts w:ascii="Times New Roman" w:hAnsi="Times New Roman"/>
          <w:b w:val="false"/>
          <w:sz w:val="20"/>
        </w:rPr>
        <w:t>mutation. The anti-tumor activity of RMC-4630 observed in this study was enabled by a unique intermittent dosing paradigm (200 mg D1D2 weekly) designed to maximize dose intensity without compromising safety and tolerability. Accordingly, and consistent with the highly selective profile of RMC 4630, all dose-limiting toxicities observed in the RMC-4630-01 study have been linked to on-target SHP2 inhibition. We continue to evaluate RMC-4630 monotherapy at the RP2DS in an expansion cohort of the RMC-4630-01 study, consisting of patients with gynecologic tumors harboring NF1</w:t>
      </w:r>
      <w:r>
        <w:rPr>
          <w:rFonts w:ascii="Times New Roman" w:hAnsi="Times New Roman"/>
          <w:b w:val="false"/>
          <w:sz w:val="13"/>
        </w:rPr>
        <w:t>LOF</w:t>
      </w:r>
      <w:r>
        <w:rPr>
          <w:rFonts w:ascii="Times New Roman" w:hAnsi="Times New Roman"/>
          <w:sz w:val="20"/>
        </w:rPr>
        <w:t xml:space="preserve"> </w:t>
      </w:r>
      <w:r>
        <w:rPr>
          <w:rFonts w:ascii="Times New Roman" w:hAnsi="Times New Roman"/>
          <w:b w:val="false"/>
          <w:sz w:val="20"/>
        </w:rPr>
        <w:t>mutations, in addition to a small safety/tolerability cohort representing a broader set of histotypes and RAS pathway genotypes.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highest priority hypothesis regarding RMC-4630 is that it can deliver additional clinical benefit as a RAS Companion Inhibitor to patients with RAS-addicted tumors treated with a RAS inhibitor. Below is a list of the active or planned clinical studies of RMC-4630 in combination with RAS inhibitors:</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sz w:val="20"/>
        </w:rPr>
        <w:t>CodeBreaK 101c - RMC-4630 is being evaluated by Amgen in combination with its KRAS</w:t>
      </w:r>
      <w:r>
        <w:rPr>
          <w:rFonts w:ascii="Times New Roman" w:hAnsi="Times New Roman"/>
          <w:b w:val="false"/>
          <w:sz w:val="13"/>
        </w:rPr>
        <w:t>G12C</w:t>
      </w:r>
      <w:r>
        <w:rPr>
          <w:rFonts w:ascii="Times New Roman" w:hAnsi="Times New Roman"/>
          <w:b w:val="false"/>
          <w:sz w:val="20"/>
        </w:rPr>
        <w:t>(OFF) agent sotorasib (Lumakras</w:t>
      </w:r>
      <w:r>
        <w:rPr>
          <w:rFonts w:ascii="Times New Roman" w:hAnsi="Times New Roman"/>
          <w:b w:val="false"/>
          <w:sz w:val="13"/>
        </w:rPr>
        <w:t>TM</w:t>
      </w:r>
      <w:r>
        <w:rPr>
          <w:rFonts w:ascii="Times New Roman" w:hAnsi="Times New Roman"/>
          <w:b w:val="false"/>
          <w:sz w:val="20"/>
        </w:rPr>
        <w:t xml:space="preserve">) as an arm of the Amgen-sponsored CodeBreaK 101 study. We believe that the potential mechanism of action and preclinical data that we have observed provide a viable rationale for this study. </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sz w:val="20"/>
        </w:rPr>
        <w:t>RMC-4630-03 - As a complement to the CodeBreaK 101c study, we are sponsoring RMC-4630-03, which is a global Phase 2 study of RMC-4630 in combination with sotorasib. The first patient in RMC-4630-03 has been dosed and enrollment is ongoing for patients with NSCLC carrying a KRAS</w:t>
      </w:r>
      <w:r>
        <w:rPr>
          <w:rFonts w:ascii="Times New Roman" w:hAnsi="Times New Roman"/>
          <w:b w:val="false"/>
          <w:sz w:val="13"/>
        </w:rPr>
        <w:t>G12C</w:t>
      </w:r>
      <w:r>
        <w:rPr/>
        <w:t xml:space="preserve"> </w:t>
      </w:r>
      <w:r>
        <w:rPr>
          <w:rFonts w:ascii="Times New Roman" w:hAnsi="Times New Roman"/>
          <w:b w:val="false"/>
          <w:sz w:val="20"/>
        </w:rPr>
        <w:t xml:space="preserve">mutation who have failed prior standard therapy and who have not previously been treated with a RAS inhibitor. We are sponsoring the RMC-4630-03 study under our global partnership with Sanofi and conducting the trial in collaboration with Amgen, which is supplying sotorasib globally under a clinical collaboration and supply agreement. </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sz w:val="20"/>
        </w:rPr>
        <w:t>Our partner Sanofi plans to sponsor a Phase 1/2 study of RMC-4630 in combination with Mirati Therapeutics’ KRAS</w:t>
      </w:r>
      <w:r>
        <w:rPr>
          <w:rFonts w:ascii="Times New Roman" w:hAnsi="Times New Roman"/>
          <w:b w:val="false"/>
          <w:sz w:val="13"/>
        </w:rPr>
        <w:t>G12C</w:t>
      </w:r>
      <w:r>
        <w:rPr>
          <w:rFonts w:ascii="Times New Roman" w:hAnsi="Times New Roman"/>
          <w:b w:val="false"/>
          <w:sz w:val="20"/>
        </w:rPr>
        <w:t>(OFF) inhibitor, adagrasib.</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Below is a list of the active or planned clinical studies of RMC-4630 that do not involve combinations with RAS inhibitors: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RMC-4630-01, an active Phase 1 study of RMC-4630 as monotherapy;</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sz w:val="20"/>
        </w:rPr>
        <w:t>TCD16210, which includes an ongoing Sanofi-sponsored Phase 1/2 study of RMC-4630 in combination with the PD-1 inhibitor pembrolizumab (Keytruda</w:t>
      </w:r>
      <w:r>
        <w:rPr>
          <w:rFonts w:ascii="Times New Roman" w:hAnsi="Times New Roman"/>
          <w:b w:val="false"/>
          <w:sz w:val="13"/>
        </w:rPr>
        <w:t>®</w:t>
      </w:r>
      <w:r>
        <w:rPr>
          <w:rFonts w:ascii="Times New Roman" w:hAnsi="Times New Roman"/>
          <w:b w:val="false"/>
          <w:sz w:val="20"/>
        </w:rPr>
        <w:t>);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 combination of RMC-4630 with an ERK inhibitor in patients with pancreatic cancer as part of an investigator sponsored study planned by Netherlands Cancer Institute.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RMC-4630 is being evaluated by Sanofi in a global Phase 1/2 study in combination with the PD-1 inhibitor pembrolizumab (Keytruda®). Sanofi has selected a RP2DS for the Phase 2 expansion evaluating this combination as front-line treatment for NSCLC patients whose tumors express PD-L1 is ongoing.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The Pancreatic Cancer Collective (a strategic partnership between Lustgarten Foundation and Stand Up To Cancer) has awarded funding to the Netherlands Cancer Institute, or the NKI, for its study using our SHP2 inhibitor, RMC-4630 in combination with an investigational ERK inhibitor (LY3214996) in patients with pancreatic cancer. We plan to provide RMC-4630 to support this investigator-sponsored study.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addition to the above, RMC-4630-02 is a deprioritized Phase 1b/2 study of RMC-4630 that includes an arm that studied RMC-4630 in combination with the MEK inhibitor cobimetinib and an arm that evaluated RMC-4630 in combination with the EGFR inhibitor osimertinib (Tagrisso®). Although we will observe and support patients who are part of the study, no additional patients will be enrolled and the study has been deprioritized.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Under our collaboration with Sanofi on our SHP2 inhibitor programs, including RMC-4630, we have a 50-50 profit share and a co-promote right in the United States and are eligible to receive royalties on net sales outside of the United States. Sanofi is responsible for reimbursing substantially all of our research costs and all of our development costs for RMC-4630.</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RMC-5552</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Our RAS Companion Inhibitor RMC-5552 is designed as a selective inhibitor of hyperactivated mTORC1 signaling in tumors. We are evaluating RMC-5552 as a monotherapy in a Phase 1 clinical program, and plan to study it in combination with RAS inhibitors for patients with cancers harboring a RAS mutation and co-occurring mutations in the mTOR signaling pathway. To date, RMC-5552 has been well tolerated at doses up through 6 mg weekly, and preliminary assessments suggest that mucositis is the dose-limiting toxicity at higher doses, which we believe is an on-target biological effect. We have observed preliminary evidence of clinical activity at tolerable doses, including a confirmed partial response in a patient with head and neck cancer bearing an mTOR pathway mutation (Figure 7).</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Figure 7. Best Tumor Change in Efficacy Evaluable Patients Treated with 6 mg IV Weekly</w:t>
      </w:r>
      <w:r>
        <w:rPr>
          <w:rFonts w:ascii="Times New Roman" w:hAnsi="Times New Roman"/>
          <w:b w:val="false"/>
          <w:sz w:val="13"/>
        </w:rPr>
        <w:t>#</w:t>
      </w:r>
      <w:r>
        <w:rPr>
          <w:rFonts w:ascii="Times New Roman" w:hAnsi="Times New Roman"/>
          <w:b w:val="false"/>
          <w:sz w:val="20"/>
        </w:rPr>
        <w:t>.</w:t>
      </w:r>
    </w:p>
    <w:p>
      <w:pPr>
        <w:pStyle w:val="TextBody"/>
        <w:spacing w:lineRule="auto" w:line="273" w:before="0" w:after="0"/>
        <w:jc w:val="left"/>
        <w:rPr/>
      </w:pPr>
      <w:r>
        <w:rPr/>
        <w:t> </w:t>
      </w:r>
    </w:p>
    <w:p>
      <w:pPr>
        <w:pStyle w:val="TextBody"/>
        <w:spacing w:lineRule="auto" w:line="273" w:before="120" w:after="0"/>
        <w:jc w:val="center"/>
        <w:rPr/>
      </w:pPr>
      <w:r>
        <w:rPr/>
        <w:drawing>
          <wp:inline distT="0" distB="0" distL="0" distR="0">
            <wp:extent cx="3800475" cy="2543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800475" cy="2543175"/>
                    </a:xfrm>
                    <a:prstGeom prst="rect">
                      <a:avLst/>
                    </a:prstGeom>
                  </pic:spPr>
                </pic:pic>
              </a:graphicData>
            </a:graphic>
          </wp:inline>
        </w:drawing>
      </w:r>
      <w:r>
        <w:rPr/>
        <w:t> </w:t>
      </w:r>
    </w:p>
    <w:p>
      <w:pPr>
        <w:pStyle w:val="TextBody"/>
        <w:spacing w:lineRule="auto" w:line="273" w:before="120" w:after="0"/>
        <w:jc w:val="left"/>
        <w:rPr>
          <w:rFonts w:ascii="Times New Roman" w:hAnsi="Times New Roman"/>
          <w:b w:val="false"/>
          <w:sz w:val="15"/>
        </w:rPr>
      </w:pPr>
      <w:r>
        <w:rPr>
          <w:rFonts w:ascii="Times New Roman" w:hAnsi="Times New Roman"/>
          <w:b w:val="false"/>
          <w:sz w:val="15"/>
        </w:rPr>
        <w:t># Preliminary assessments suggest mucositis was the major dose-limiting toxicity. 6 mg weekly was well tolerated. Further enrollment at doses above 6 mg is ongoing to define the RP2DS; *Patient received one dose of 12 mg, followed by weekly doses of 6 mg. Data as of 01/07/2022.</w:t>
      </w:r>
    </w:p>
    <w:p>
      <w:pPr>
        <w:pStyle w:val="TextBody"/>
        <w:spacing w:lineRule="auto" w:line="273" w:before="200" w:after="0"/>
        <w:jc w:val="left"/>
        <w:rPr>
          <w:rFonts w:ascii="Times New Roman" w:hAnsi="Times New Roman"/>
          <w:sz w:val="20"/>
        </w:rPr>
      </w:pPr>
      <w:r>
        <w:rPr>
          <w:rFonts w:ascii="Times New Roman" w:hAnsi="Times New Roman"/>
          <w:b w:val="false"/>
          <w:sz w:val="20"/>
        </w:rPr>
        <w:t>mTORC1 is a critical regulator of metabolism, growth and proliferation within cells, including cancer cells. The abnormal activation of mTORC1, and subsequent inactivation of the tumor suppressor 4EBP1, is a mechanism that is frequently harnessed by cancer cells to gain a growth and proliferation advantage over normal cells.</w:t>
      </w:r>
      <w:r>
        <w:rPr>
          <w:rFonts w:ascii="Times New Roman" w:hAnsi="Times New Roman"/>
          <w:sz w:val="20"/>
        </w:rPr>
        <w:t xml:space="preserve"> </w:t>
      </w:r>
      <w:r>
        <w:rPr>
          <w:rFonts w:ascii="Times New Roman" w:hAnsi="Times New Roman"/>
          <w:b w:val="false"/>
          <w:sz w:val="20"/>
        </w:rPr>
        <w:t>RMC-5552 is designed to selectively and deeply inhibit mTORC1, thereby preventing phosphorylation and inactivation of 4EBP1, a downstream protein in the mTOR signaling pathway that normally suppresses expression of certain oncogenes such as C-MYC. RMC-5552 has been shown to have combinatorial activity with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inhibitors in preclinical models of KRAS</w:t>
      </w:r>
      <w:r>
        <w:rPr>
          <w:rFonts w:ascii="Times New Roman" w:hAnsi="Times New Roman"/>
          <w:b w:val="false"/>
          <w:sz w:val="13"/>
        </w:rPr>
        <w:t xml:space="preserve">G12C </w:t>
      </w:r>
      <w:r>
        <w:rPr>
          <w:rFonts w:ascii="Times New Roman" w:hAnsi="Times New Roman"/>
          <w:b w:val="false"/>
          <w:sz w:val="20"/>
        </w:rPr>
        <w:t>lung and colon cancer, suggesting that RMC-5552 may be a meaningful and rational addition to our portfolio of RAS Companion Inhibitors.</w:t>
      </w:r>
    </w:p>
    <w:p>
      <w:pPr>
        <w:pStyle w:val="TextBody"/>
        <w:spacing w:lineRule="auto" w:line="273" w:before="200" w:after="0"/>
        <w:jc w:val="left"/>
        <w:rPr>
          <w:rFonts w:ascii="Times New Roman" w:hAnsi="Times New Roman"/>
          <w:sz w:val="20"/>
        </w:rPr>
      </w:pPr>
      <w:r>
        <w:rPr>
          <w:rFonts w:ascii="Times New Roman" w:hAnsi="Times New Roman"/>
          <w:b w:val="false"/>
          <w:i/>
          <w:sz w:val="20"/>
        </w:rPr>
        <w:t>RMC-5845</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RMC-5845, our potent and selective SOS1 inhibitor, is designed to suppress resistance to RAS inhibition through inhibition of cooperating RAS pathway signaling. This compound is ready for preparation of an IND based on the Company’s preclinical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development. We continue evaluating the scientific rationale for advancing RMC-5845 into clinical development in the context of other assets in our portfolio.</w:t>
      </w:r>
    </w:p>
    <w:p>
      <w:pPr>
        <w:pStyle w:val="TextBody"/>
        <w:spacing w:lineRule="auto" w:line="273" w:before="200" w:after="0"/>
        <w:jc w:val="left"/>
        <w:rPr>
          <w:rFonts w:ascii="Times New Roman" w:hAnsi="Times New Roman"/>
          <w:sz w:val="20"/>
        </w:rPr>
      </w:pPr>
      <w:r>
        <w:rPr>
          <w:rFonts w:ascii="Times New Roman" w:hAnsi="Times New Roman"/>
          <w:b/>
          <w:sz w:val="20"/>
        </w:rPr>
        <w:t>Commercial plan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intend to retain significant development and commercialization rights to our product candidates and, if marketing approval is obtained, to commercialize our product candidates on our own, or potentially with a partner, in the United States and other regions. Our most advanced product candidate, RMC-4630, is the subject of a global collaboration with Sanofi. Unless otherwise delegated to us by the joint commercialization committee, Sanofi has the sole right and responsibility for all aspects of the commercialization of SHP2 inhibitors in the world for any and all uses, at its expense, subject to our right to elect to co-promote SHP2 inhibitors in the United States. In the United States, we will share equally with Sanofi the profits and losses applicable to commercialization of SHP2 inhibitor products. Sanofi is responsible for manufacturing SHP2 inhibitors for commercial supply and is expected to lead commercialization efforts through a joint commercialization committee representing the partners.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sz w:val="20"/>
        </w:rPr>
        <w:t>Collaboration agreement with Sanofi</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 June 2018, we entered into the Sanofi Agreement with Aventis, Inc. (an affiliate of Sanofi)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Under the Sanofi Agreement, we have primary responsibility for early clinical development of RMC-4630 pursuant to a development plan that is currently approved through 2022. The development plan and budget beyond 2022 will be determined by a joint research and development committee, over which Sanofi has final decision-making power subject to certain exceptions. Sanofi is responsible to reimburse us for all internal and external costs and expenses to perform our activities under approved development plans, except for costs and expenses related to studies designated in the Sanofi Agreement as RevMed Studies, for which we will bear all costs and expenses, and for the planned RMC-4630-03 study, for which we have agreed that Sanofi will reimburse us for 50% of the costs and expenses. Unreimbursed costs borne by us for any RevMed Studies and for our 50% share of the RMC-4630-03 collaboration study are subject to future reimbursement by Sanofi through a buy-in payment pursuant to the terms of the Sanofi Agreement if they use data from a RevMed Study or the RMC-4630-03 study in support of a marketing approval application. There currently are no active RevMed Studies.</w:t>
      </w:r>
    </w:p>
    <w:p>
      <w:pPr>
        <w:pStyle w:val="TextBody"/>
        <w:spacing w:lineRule="auto" w:line="273" w:before="200" w:after="0"/>
        <w:jc w:val="left"/>
        <w:rPr>
          <w:rFonts w:ascii="Times New Roman" w:hAnsi="Times New Roman"/>
          <w:sz w:val="20"/>
        </w:rPr>
      </w:pPr>
      <w:r>
        <w:rPr>
          <w:rFonts w:ascii="Times New Roman" w:hAnsi="Times New Roman"/>
          <w:b w:val="false"/>
          <w:sz w:val="20"/>
        </w:rPr>
        <w:t>We are responsible for the manufacture of SHP2 inhibitors for Phase 1 and non-registrational Phase 2 clinical trials pursuant to a development plan that is currently approved through 2022,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are also primarily responsible for performing preclinical research on SHP2 inhibitors, pursuant to a research plan that is currently approved through 2021. The parties currently do not anticipate additional collaboration preclinical research under the research plan in 2022. Sanofi is responsible to reimburse us for all internal and external costs and expenses incurred to perform activities under approved research plans, with the exception of internal and external research costs and expenses under the approved research plans for 2019 and 2020, for which Sanofi was obligated to reimburse us for 80% of such costs. We were responsible for 20% of all internal and external research costs incurred under the research plans for 2019 and 2020. Sanofi is responsible to reimburse us for all internal and external costs and expenses incurred under the research plan for 2021.</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for at least one SHP2 inhibitor product candidate in certain major market countries. Sanofi agrees to provide us, and we agree to provide Sanofi, with research, development and commercialization updates through the joint committees.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During the term of the Sanofi Agreement, we may not, alone or with any affiliate or third party, conduct certain research activities with respect to, or develop or commercialize, any product that contains a SHP2 inhibitor outside of the Sanofi Agreement.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Sanofi has the sole and exclusive right to file, prosecute and maintain any patents licensed to it pursuant to the Sanofi Agreement, as well as to enforce infringement of or defend claims against such patents that relate to SHP2 inhibitor products.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sz w:val="20"/>
        </w:rPr>
        <w:t>Manufacturing</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rely on and will continue to rely on our contract manufacturing organizations, or CMOs, for both drug substance and drug product. Currently, all of our manufacturing is outsourced to well-established third-party manufacturers. We have entered into contracts with CMOs for production of drug substance and drug product for our clinical trials and IND-enabling development studies, and plan to enter into additional contracts with these or other manufacturers for additional supply.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Our outsourced approach to manufacturing relies on CMOs to first develop manufacturing processes that are compliant with current Good Manufacturing Practice, or cGMP, then produce material for preclinical and clinical studies. Our agreements with CMOs may obligate them to develop and qualify upstream and downstream processes, develop drug product process, validate (and in some cases develop) suitable analytical methods for test and release as well as stability testing, produce drug substance for preclinical testing, produce cGMP-compliant drug substance, or produce cGMP-compliant drug product. We conduct audits of CMOs prior to initiation of activities under these agreements and monitor operations to ensure compliance with the mutually agreed process descriptions and to cGMP regulations.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sz w:val="20"/>
        </w:rPr>
        <w:t>Competition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biotechnology and pharmaceutical industries, and the oncology sector, are characterized by rapid evolution of technologies, fierce competition and strong defense of intellectual property rights. While we believe that our discovery programs, technology, knowledge, experience, and scientific resources provide us with competitive advantages, we face competition from major pharmaceutical and biotechnology companies, academic institutions, governmental agencies and public and private research institutions, among others.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and convenience of our products and the ease of use and effectiveness of any complementary diagnostics and/or companion diagnostics.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There are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Jacobio Pharmaceuticals Co. Ltd. (licensed to AbbVie Inc.), Relay Therapeutics, Inc. (licensed to Roche), Erasca, Inc., Navire Pharma, Inc., InnoCare Pharma Ltd., and Genhouse Bio Co. Ltd.</w:t>
      </w:r>
    </w:p>
    <w:p>
      <w:pPr>
        <w:pStyle w:val="TextBody"/>
        <w:spacing w:lineRule="auto" w:line="273" w:before="200" w:after="0"/>
        <w:jc w:val="left"/>
        <w:rPr>
          <w:rFonts w:ascii="Times New Roman" w:hAnsi="Times New Roman"/>
          <w:sz w:val="20"/>
        </w:rPr>
      </w:pPr>
      <w:r>
        <w:rPr>
          <w:rFonts w:ascii="Times New Roman" w:hAnsi="Times New Roman"/>
          <w:b w:val="false"/>
          <w:sz w:val="20"/>
        </w:rPr>
        <w:t>There are several RAS pathway mutations programs, including those directed at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and KRAS</w:t>
      </w:r>
      <w:r>
        <w:rPr>
          <w:rFonts w:ascii="Times New Roman" w:hAnsi="Times New Roman"/>
          <w:b w:val="false"/>
          <w:sz w:val="13"/>
        </w:rPr>
        <w:t>G12D</w:t>
      </w:r>
      <w:r>
        <w:rPr>
          <w:rFonts w:ascii="Times New Roman" w:hAnsi="Times New Roman"/>
          <w:b w:val="false"/>
          <w:sz w:val="20"/>
        </w:rPr>
        <w:t>mutations, including clinical programs directed at KRAS</w:t>
      </w:r>
      <w:r>
        <w:rPr>
          <w:rFonts w:ascii="Times New Roman" w:hAnsi="Times New Roman"/>
          <w:b w:val="false"/>
          <w:sz w:val="13"/>
        </w:rPr>
        <w:t>G12C</w:t>
      </w:r>
      <w:r>
        <w:rPr>
          <w:rFonts w:ascii="Times New Roman" w:hAnsi="Times New Roman"/>
          <w:b w:val="false"/>
          <w:sz w:val="20"/>
        </w:rPr>
        <w:t>(OFF) being conducted by Amgen Inc., Mirati Therapeutics, Inc., Roche, Jacobio Pharmaceuticals Co. Ltd., Betta Pharmaceuticals Co., Ltd., Novartis AG, InventisBio, Eli Lilly &amp; Co., InnoCare Pharma Ltd., Innovent Biologics, Inc and Genhoouse Bio Co. Ltd. Other clinical programs directed at mutant RAS are being conducted including those by Merck &amp; Co./Moderna Therapeutics, Boehringer Ingelheim, Chugai Pharmaceutical Co. and Gilead Sciences, Inc. Smaller and other early-stage companies such as Frontier Medicines, may also prove to be significant competitors. In addition, academic research departments and public and private research institutions may be conducting research on compounds that could prove to be competitive.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availability of coverage and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and patient registration for clinical trials, as well as in acquiring technologies complementary to, or necessary for, our programs.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sz w:val="20"/>
        </w:rPr>
        <w:t>Intellectual property</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Our success depends in part on our ability and the ability of our collaborators to obtain and maintain proprietary protection for our technology, programs, and know-how related to our business, defend and enforce our intellectual property rights, in particular, our patent rights, preserve the confidentiality of our trade secrets, and operate without infringing valid and enforceable intellectual property rights of others. We endeavor to establish, maintain and enforce intellectual property rights that protect our business interests.</w:t>
      </w:r>
    </w:p>
    <w:p>
      <w:pPr>
        <w:pStyle w:val="TextBody"/>
        <w:spacing w:lineRule="auto" w:line="273" w:before="200" w:after="0"/>
        <w:jc w:val="left"/>
        <w:rPr>
          <w:rFonts w:ascii="Times New Roman" w:hAnsi="Times New Roman"/>
          <w:sz w:val="20"/>
        </w:rPr>
      </w:pPr>
      <w:r>
        <w:rPr>
          <w:rFonts w:ascii="Times New Roman" w:hAnsi="Times New Roman"/>
          <w:b w:val="false"/>
          <w:sz w:val="20"/>
        </w:rPr>
        <w:t>The term of individual patents depends upon the legal term of patents in the countries in which they are obtained. In most countries in which we file, including the United States, the patent term is generally 20 years from the earliest date of filing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In the United States, the term of a patent may also be eligible for patent term adjustment for delays within the United States Patent and Trademark Office, or USPTO. In addition, for patents that cover an FDA-approved drug, the Drug Price Competition and Patent Term Restoration Act of 1984, or the Hatch-Waxman Act, may permit a patent term extension of up to five years beyond the expiration of the patent. While the length of such patent term extension is related to the length of time the drug is under regulatory review, patent term extension cannot extend the remaining term of a patent beyond a total of 14 years from the date of product approval, only one patent per approved drug may be extended and only those claims covering the approved drug product, a method for using it or a method for manufacturing it may be extended. Similar provisions are available in Europe and certain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also rely on trade secrets, know-how, and confidential information relating to our programs to develop and maintain our proprietary position, and seek to protect and maintain the confidentiality of such items to protect aspects of our business that are not amenable to, or that we do not presently consider appropriate for, patent protection. Our trade secrets include, for example, certain program specific syntheses, manufacturing schema, formulations, biomarkers, patient selection strategies, and certain aspects of our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proprietary tri-complex technology platform. It is our policy to require our employees, consultants, contractors, outside scientific collaborators, sponsored researchers and other advisors to execute confidentiality agreements prior to the commencement of employment or consulting relationships with us, and for employees, contractors and consultants to enter into invention assignment agreements with us. These agreements generally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be self-executing or otherwise provide meaningful protection or adequate remedies for our trade secrets or other proprietary information, including in the event of unauthorized use or disclosure of such information. We also seek to preserve the integrity and confidentiality of our trade secrets and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intellectual property, please see “Risk factors—Risks related to intellectual property.”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Our program-specific patent portfolio</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Our patent portfolio is directed to small molecules, platform methodologies, and related technology. We seek patent protection for product candidates, development programs, and related alternatives by filing and prosecuting patent applications in the United States and other countries, as appropriate.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own and co-own patents and patent applications related to our SHP2 development program. Our patent portfolio related to this program consists of ownership or co-ownership rights to several patent families that include filings covering compositions of matter or methods of using our clinical candidate, RMC-4630, alone or in combination with certain other therapeutic agents. The single co-owned patent family is co-owned with The University of California, San Francisco, or UCSF. The issued patents have, and any patents issuing from these patent applications would have, nominal expiration dates ranging from 2037 to 2040, without accounting for any applicable patent term adjustments or extensions. All but the single UCSF co-owned family is exclusively licensed to our SHP2 collaborator, Sanofi, under the Sanofi Agreement.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own or exclusively license patents and patent applications related to our mTORC1 development program. Our patent portfolio related to this program consists of ownership or the exclusive license of rights to several patent families that include filings covering compositions of matter or methods of using our development candidate, RMC-5552, alone or in combination with certain other therapeutic agents. The single exclusively licensed patent family is licensed from UCSF. The issued patents have, and any patents issuing from these patent applications would have, nominal expiration dates ranging from 2035 to 2041, without accounting for any applicable patent term adjustments or extensions.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own patent applications related to our SOS1 development program. Our patent portfolio related to this program consists of ownership of several patent families that include filings covering compositions of matter or methods of using our development candidate, RMC-5845, alone or in combination with certain other therapeutic agents. The patents issuing from these patent applications would have an earliest nominal expiration date of 2040, without accounting for any applicable patent term adjustments or extensions.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own patents and patent applications related to our RAS tri-complex inhibitors and related platform technology. Our patent portfolio related to this program consists of ownership rights to several patent families that include filings covering compositions of matter or methods of using our development candidates, RMC-6291 and RMC-6236, alone or in combination with certain other therapeutic agents, or aspects pertaining to our tri-complex approach to RAS inhibition. The issued patents have, and any patents issuing from these patent applications would have, nominal expiration dates ranging from 2031 (for patents originating from the Warp Drive Bio portfolio) to 2041 (for patents originating from the Company’s portfolio), without accounting for any applicable patent term adjustments or extensions.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sz w:val="20"/>
        </w:rPr>
        <w:t>Government regulation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FDA and other regulatory authorities at federal, state, and local levels, as well as in foreign countries, extensively regulate, among other things, the research, development, testing, manufacture, storage, recordkeeping, approval, labeling, marketing and promotion, distribution, post-approval monitoring and reporting, sampling, and import and export of products, such as those we are developing. The process of obtaining regulatory approvals and the subsequent compliance with appropriate federal, state, local and foreign statutes and regulations require the expenditure of substantial time and financial resources.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i/>
          <w:sz w:val="20"/>
        </w:rPr>
        <w:t>U.S. drug regulation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 the United States, the FDA regulates drugs under the Federal Food, Drug, and Cosmetic Act, or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process required by the FDA before product candidates may be marketed in the United States generally involves the following:</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completion of extensive preclinical laboratory tests and animal studies, where all supporting safety and toxicity studies are performed in accordance with applicable regulations, including the FDA’s Good Laboratory Practice, or GLP, regulations;</w:t>
      </w:r>
    </w:p>
    <w:p>
      <w:pPr>
        <w:pStyle w:val="TextBody"/>
        <w:spacing w:lineRule="auto" w:line="273" w:before="120" w:after="0"/>
        <w:jc w:val="left"/>
        <w:rPr>
          <w:rFonts w:ascii="Times New Roman" w:hAnsi="Times New Roman"/>
          <w:sz w:val="20"/>
        </w:rPr>
      </w:pPr>
      <w:r>
        <w:rPr>
          <w:rFonts w:ascii="Times New Roman" w:hAnsi="Times New Roman"/>
          <w:b w:val="false"/>
          <w:sz w:val="20"/>
        </w:rPr>
        <w:t> manufacture of clinical drug supply in accordance with FDA’s current Good Manufacturing Practice, or cGMP, regulations, when required;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submission to the FDA of an investigational new drug application, or IND, which must become effective before human clinical studies may begin and must be updated annually or when significant changes are made;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approval by an independent institutional review board, or IRB, representing each clinical site before a clinical study may be initiated;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performance of adequate and well-controlled human clinical trials in accordance with good clinical practice, or GCP, regulations to establish the safety and efficacy of the product candidate for each proposed indication;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preparation of and submission to the FDA of an NDA after completion of all pivotal trials;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a determination by the FDA within 60 days of its receipt of an NDA to file the application for review;</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satisfactory completion of an FDA advisory committee review, if applicable;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satisfactory completion of an FDA pre-approval inspection of the manufacturing facility(ies) where the product is manufactured to assess compliance with cGMP regulations, and of selected clinical investigation sites to assess compliance with GCP;</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payment of users fees for FDA review of the NDA;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FDA review and approval of an NDA to permit commercial marketing of the product for its particular labeled uses in the United States.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Preclinical and clinical studies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preclinical and clinical testing and approval process can take many years and the actual time required to obtain approval, if any, may vary substantially based upon the type, complexity and novelty of the product or condition being treated.</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Preclinical tests include laboratory (in vitro) evaluation of product chemistry, formulation and toxicity, as well as animal (in vivo) studies to assess the characteristics and potential safety and efficacy of the product. The conduct of preclinical tests that provide safety and toxicological information must comply with federal regulations and requirements, including GLP. The results of preclinical testing are submitted to the FDA as part of an IND along with other information, including information about product chemistry, manufacturing and controls (CMC) and any available human data or literature to support use of the product in humans. An IND is a request for authorization from the FDA to administer an investigational product to humans and must become effective before clinical trials may begin. Long-term preclinical tests, such as animal tests of reproductive toxicity and carcinogenicity, may continue after the IND is submitted.</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studies. In such a case, the IND may be placed on clinical hold and the IND sponsor and the FDA must resolve any outstanding concerns or questions before clinical studies can begin.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findings from preclinical studies suggesting a significant risk for human subjects, as well as IND annual reports on the progress of the investigations conducted under the IND.</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Clinical studies involve the administration of the investigational new drug to human subjects under the supervision of qualified investigators in accordance with GCPs, which include the requirement that all research subjects provide their informed consent for participation in each clinical study.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Additionally, approval must also be obtained from each clinical study site’s IRB before a study may be initiated at the site, and the IRB must monitor the study until completed. Sponsors of clinical trials generally must register and report ongoing clinical studies and clinical study results to public registries, including the website maintained by the U.S. National Institutes of Health, ClinicalTrials.gov.</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Human clinical trials are typically divided into three or four phases. Although the phases are usually conducted sequentially, they may overlap or be combined.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Phase 1. The drug is initially introduced into healthy human subjects or into patients with the target disease or condition. These studies are designed to evaluate the safety, dosage tolerance, metabolism and pharmacologic actions of the drug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Phase 2. The drug is administered to a limited patient population to evaluate tolerance and optimal dose, identify possible adverse side effects and safety risks, and preliminarily evaluate efficacy. Multiple Phase 2 trials may be conducted to obtain additional data prior to beginning Phase 3 trials.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Phase 3. The drug is administered to an expanded patient population, generally at geographically dispersed clinical study sites to generate enough data to statistically evaluate dosage, clinical effectiveness and safety, to establish the overall benefit-risk relationship of the investigational product and to provide an adequate basis for product approval.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Phase 4. In some cases, the FDA may condition approval of an NDA for a product candidate on the sponsor’s agreement to conduct additional clinical studies after approval. In other cases, a sponsor may voluntarily conduct additional clinical studies after approval to gain more information about the drug. Such post-approval studies are typically referred to as Phase 4 clinical studies.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FDA, the IRB or the clinical study sponsor may suspend or terminate a clinical study at any time on various grounds, including a finding that the research subjects are being exposed to an unacceptable health risk. The sponsor may also suspend or terminate a clinical study based on evolving business objectives and/or competitive climate.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Concurrent with clinical trials, companies may complete additional in vivo studies and develop additional information about the characteristics of the product candidate. Companies must also finalize a process for manufacturing the product in commercially applicable quantities in accordance with cGMP requirements. The manufacturing process must be capable of consistently producing quality batches of the product and, among other things, must use validated methods for testing the product against specifications to confirm its identity, strength, quality and purity. Additionally, appropriate packaging must be selected and tested and stability studies must be conducted to demonstrate that the product does not undergo unacceptable deterioration over its shelf life.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U.S. review and approval process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Assuming successful completion of all required testing in accordance with all applicable regulatory requirements, the results of preclinical studies and other non-clinical studies and clinical trials, together with detailed information relating to the product’s chemistry, manufacture, controls, and proposed labeling, among other things, are submitted to the FDA in the form of an NDA requesting approval to market the product for one or more indications. The submission of an NDA requires payment of a substantial application user fee to the FDA, unless a waiver or exemption applies.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An NDA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product to the satisfaction of the FDA.</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FDA reviews all submitted NDAs before it accepts them for filing. The FDA has 60 days from its receipt of an NDA to determine whether the application will be accepted for filing based on the agency’s threshold determination that it is sufficiently complete to</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or PDUFA, performance goals, the FDA endeavors to review applications subject to standard review within ten to twelve months, and to review applications subject to priority review within six to eight months, depending on whether the drug is a new molecular entity.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the FDA will typically inspect one or more clinical sites to assure that relevant study data was obtained in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After the FDA evaluates the NDA and conducts inspections of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submission and may require substantial additional testing or information, including additional clinical trials or other significant and time-consuming requirements related to the clinical trials, in order for the FDA to reconsider the application. Even with submission of this additional information, the FDA may ultimately decide that an application does not satisfy the regulatory criteria for approval.</w:t>
      </w:r>
    </w:p>
    <w:p>
      <w:pPr>
        <w:pStyle w:val="TextBody"/>
        <w:spacing w:lineRule="auto" w:line="273" w:before="200" w:after="0"/>
        <w:jc w:val="left"/>
        <w:rPr>
          <w:rFonts w:ascii="Times New Roman" w:hAnsi="Times New Roman"/>
          <w:sz w:val="20"/>
        </w:rPr>
      </w:pPr>
      <w:r>
        <w:rPr>
          <w:rFonts w:ascii="Times New Roman" w:hAnsi="Times New Roman"/>
          <w:b w:val="false"/>
          <w:sz w:val="20"/>
        </w:rPr>
        <w:t>If regulatory approval of a product is granted, such approval will be granted for particular indications and may entail limitations on the indicated uses for which such product may be marketed. For example, as a condition of NDA approval, the FDA may require a Risk Evaluation and Mitigation Strategy, or REMS, program to help ensure that the benefits of the drug outweigh its risks. If the FDA determines a REMS program is necessary during review of the application, the drug sponsor must agree to the REMS plan at the time of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 The FDA also may condition approval on, among other things, changes to proposed labeling or the development of adequate controls and specifications.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Further, product approval may require substantial post-approval testing and surveillance to monitor the drug’s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 In addition, new government requirements, including those resulting from new legislation, may be established, or the FDA’s policies may change, which could impact the timeline for regulatory approval or otherwise impact ongoing development programs.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Expedited development and review programs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FDA offers a number of expedited development and review programs for qualifying product candidates, and we may seek one or more of these programs for our current or future products.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New drug products may be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an NDA is submitted, the product may be eligible for priority review. A fast track product may also be eligible for rolling review, where the FDA may consider for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After an NDA is submitted for a product, including a product with a fast track designation and/or breakthrough therapy designation, the NDA may be eligible for priority review. A product is eligible for priority review if it has the potential to provide a significant improvement in the treatment, diagnosis or prevention of a serious disease or condition compared to marketed products. Depending on whether a drug contains a new molecular entity, priority review designation means the FDA’s goal is to take an action on the marketing application within six to eight months of the 60-day filing date, compared with ten to twelve months under standard review.</w:t>
      </w:r>
    </w:p>
    <w:p>
      <w:pPr>
        <w:pStyle w:val="TextBody"/>
        <w:spacing w:lineRule="auto" w:line="273" w:before="200" w:after="0"/>
        <w:jc w:val="left"/>
        <w:rPr>
          <w:rFonts w:ascii="Times New Roman" w:hAnsi="Times New Roman"/>
          <w:sz w:val="20"/>
        </w:rPr>
      </w:pPr>
      <w:r>
        <w:rPr>
          <w:rFonts w:ascii="Times New Roman" w:hAnsi="Times New Roman"/>
          <w:b w:val="false"/>
          <w:sz w:val="20"/>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The FDA may withdraw approval of a drug or an indication approved under accelerated approval if, for example, sponsor fails to conduct the confirmatory trial in a timely manner, or if the confirmatory trial fails to verify the predicted clinical benefit of the product. In addition, the FDA currently requires as a condition for accelerated approval pre-approval of promotional materials, which could adversely impact the timing of the commercial launch of the product.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Fast track designation, breakthrough therapy designation, priority review and accelerated approval do not change the scientific or medical standards for approval or the quality of evidence necessary to support approval, though they may expedite the development or review process. Even if a product qualifies for one or more of these programs, the FDA may later decide that the product no longer meets the conditions for qualification or the time period for FDA review or approval may not be shortened.</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Orphan drug designation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intend to pursue orphan drug designation for one or more of our product candidates with respect to certain oncology indications, as appropriate, with the potential to obtain orphan drug exclusivity for our products, if approved.</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disease or condition. Among the other benefits of orphan drug designation are tax credits for certain research and a waiver of the application user fee.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A designated orphan drug may not receive orphan drug exclusivity if it is approved for a use that is broader than the indication for which it received orphan designation. In addition, exclusive marketing rights in the United States may be lost if the FDA later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determines that the request for designation was materially defective or if the manufacturer is unable to assure sufficient quantities of the product to meet the needs of patients with the rare disease or condition.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Pediatric information and pediatric exclusivity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Under the Pediatric Research Equity Act, or PREA,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 Plan, or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preclinical studies, early phase clinical trials and/or other clinical development programs.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Post-approval requirements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 requirements and other laws.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The FDA may withdraw approval of a product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restrictions on the marketing or manufacturing of a product, complete withdrawal of the product from the market or product recalls;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fines, warning or untitled letters or holds on clinical studies;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refusal of the FDA to approve pending applications or supplements to approved applications, or suspension or revocation of existing product approvals;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product seizure or detention, or refusal of the FDA to permit the import or export of products;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mandated modifications of promotional materials and labeling and the issuance of corrective information;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 the issuance of safety alerts, Dear Healthcare Provider letters, press releases or other communications containing warnings or other safety information about the product; or</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injunctions or the imposition of civil or criminal penalties.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Failure to comply with the applicable regulatory requirements at any time during the product development process, approval process or after approval may subject an applicant or manufacturer to, among other things, adverse publicity, warning letters, corrective advertising and potential civil and criminal penalties.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International regulation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 addition to regulations in the United States, we could become subject to a variety of foreign regulations regarding development, approval, commercial sales and distribution of our products if we seek to market our product candidates in other jurisdictions.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Other healthcare laws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consumer fraud, pricing reporting, and transparency laws and regulations as well as similar foreign laws in jurisdictions outside the U.S.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civil False Claims Act.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federal Health Insurance Portability and Accountability Act of 1996, or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 midwives) and teaching hospitals, and applicable manufacturers and applicable group purchasing organizations to report annually to CMS ownership and investment interests held by physicians and their immediate family members.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and state and local laws that require the registration of pharmaceutical sales representatives.</w:t>
      </w:r>
    </w:p>
    <w:p>
      <w:pPr>
        <w:pStyle w:val="TextBody"/>
        <w:spacing w:lineRule="auto" w:line="273" w:before="200" w:after="0"/>
        <w:jc w:val="left"/>
        <w:rPr>
          <w:rFonts w:ascii="Times New Roman" w:hAnsi="Times New Roman"/>
          <w:sz w:val="20"/>
        </w:rPr>
      </w:pPr>
      <w:r>
        <w:rPr>
          <w:rFonts w:ascii="Times New Roman" w:hAnsi="Times New Roman"/>
          <w:b w:val="false"/>
          <w:sz w:val="20"/>
        </w:rPr>
        <w:t>Violation of any of such laws or any other governmental regulations that apply may result in penalties, including, without limitation, civil and criminal penalties, damages, fines, additional reporting obligations, the curtailment or restructuring of operations, exclusion from participation in governmental healthcare programs and individual imprisonment.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Data privacy and security laws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Pharmaceutical companies may be subject to numerous federal, state and foreign laws, regulations that govern the collection, use, disclosure and protection of health-related and other personal information.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European Union (EU) General Data Protection Regulation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(UK) GDPR, which, together with the amended UK Data Protection Act 2018, retains the GDPR in UK national law.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spacing w:lineRule="auto" w:line="273" w:before="200" w:after="0"/>
        <w:jc w:val="left"/>
        <w:rPr>
          <w:rFonts w:ascii="Times New Roman" w:hAnsi="Times New Roman"/>
          <w:sz w:val="20"/>
        </w:rPr>
      </w:pPr>
      <w:r>
        <w:rPr>
          <w:rFonts w:ascii="Times New Roman" w:hAnsi="Times New Roman"/>
          <w:b/>
          <w:i/>
          <w:sz w:val="20"/>
        </w:rPr>
        <w:t>Coverage and reimbursement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Healthcare reform</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Since its enactment, there have been judicial, executive and Congressional challenges to certain aspects of the ACA. In June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Other legislative changes have been proposed and adopted since the ACA was enacted, including aggregate reductions of Medicare payments to providers of 2% per fiscal year and reduced payments to several types of Medicare providers, which will remain in effect through 2030, with the exception of a temporary suspension from May 1, 2020 through March 31, 2022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pStyle w:val="TextBody"/>
        <w:spacing w:lineRule="auto" w:line="273" w:before="200" w:after="0"/>
        <w:jc w:val="left"/>
        <w:rPr>
          <w:rFonts w:ascii="Times New Roman" w:hAnsi="Times New Roman"/>
          <w:b/>
          <w:sz w:val="20"/>
        </w:rPr>
      </w:pPr>
      <w:r>
        <w:rPr>
          <w:rFonts w:ascii="Times New Roman" w:hAnsi="Times New Roman"/>
          <w:b/>
          <w:sz w:val="20"/>
        </w:rPr>
        <w:t>Employees and human capital resources</w:t>
      </w:r>
    </w:p>
    <w:p>
      <w:pPr>
        <w:pStyle w:val="TextBody"/>
        <w:spacing w:lineRule="auto" w:line="273" w:before="200" w:after="0"/>
        <w:jc w:val="left"/>
        <w:rPr>
          <w:rFonts w:ascii="Times New Roman" w:hAnsi="Times New Roman"/>
          <w:sz w:val="20"/>
        </w:rPr>
      </w:pPr>
      <w:r>
        <w:rPr>
          <w:rFonts w:ascii="Times New Roman" w:hAnsi="Times New Roman"/>
          <w:b w:val="false"/>
          <w:sz w:val="20"/>
        </w:rPr>
        <w:t>As of December 31, 2021, we had 188 full-time employees, including 82 employees who have M.D. or Ph.D. degrees. Within our workforce, as of December 31, 2021 154 employees were engaged in research and development. None of our employees are represented by labor unions or covered by collective bargaining agreements. We consider our relationship with our employees to be good.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human capital resources objectives include meeting hiring goals, deepening our oncology and public company expertise, integrating new employees, and retaining, incentivizing and developing our existing employees. We provide competitive compensation and benefit programs, including competitive salaries, incentive programs, equity awards, and employee stock purchase plan, healthcare and insurance benefits. The principal purposes of our equity incentive programs are to attract, retain and motivate selected employees, consultants and directors through the granting of stock-based compensation awards and to align the interests of</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these individuals with those of our stockholders. We regularly review our compensation practices to support our employees, including evaluating innovative health and wellness programs to continue to respond to employee needs.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are committed to creating an environment where diverse perspectives are encouraged and supported. This commitment is memorialized as one of our corporate core values (Inclusiveness and Fairness) and is brought to life for every employee during our cultural integration sessions for new hires and through an informal network of cultural champions that we foster. As of December 31, 2021, 60% of our employees self-identified as women.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equally committed to the development of our employees and one of our corporate core values (Exceptional Together) captures this commitment. We offer our employees career-specific training and resources and support development opportunities through company-sponsored programs, including learning, mentoring, and coaching opportunities. We host regular company-wide sessions where our employees discuss ideas related to corporate initiatives and scientific breakthroughs and recognize each other’s contributions.</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The health and safety of our employees is a top priority. In 2020, in response to the COVID-19 pandemic, we developed a comprehensive plan that established clear and standardized COVID-19 policies, safety protocols and updates to all employees. We continue to monitor and adjust this plan as required to best service the needs of our employees and business. Our plan has included facilitating remote work of many of our employees, while implementing additional safety measures for employees continuing critical onsite work, including safety screening and onsite COVID-19 testing.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Corporate Information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were founded in October 2014 as a Delaware corporation. Our principal executive offices are located at 700 Saginaw Drive, Redwood City, California 94063, and our telephone number is (650) 481-6801.</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Our website address is www.revmed.com. 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References to our website address do not constitute incorporation by reference of the information contained on the website, and the information contained on the website is not part of this document or any other document that we file with or furnish to the SEC. The SEC maintains a site on the worldwide web that contains reports, proxy and information statements and other information regarding our filings at www.sec.gov.</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5" w:name="item_1a_risk_factors"/>
      <w:bookmarkEnd w:id="5"/>
      <w:r>
        <w:rPr>
          <w:rFonts w:ascii="Times New Roman" w:hAnsi="Times New Roman"/>
          <w:b/>
          <w:sz w:val="20"/>
        </w:rPr>
        <w:t>Item 1A. Risk Factors.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Investing in our common stock involves a high degree of risk. You should carefully consider the risks described below, as well as the other information in this Annual Report on Form 10-K,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competitive position, financial condition, results of operations, cash flows and prospects. In such an event, the market price of our common stock could decline, and you may lose all or part of your investment. Many of the following risks and uncertainties and those contained in the documents incorporated by reference herein are, and will be, exacerbated by the COVID-19 pandemic and any worsening of the global business and economic environment as a result. Additional risks and uncertainties not presently known to us or that we currently deem immaterial also may impair our business operations and the market price of our common stock.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Risks related to the COVID-19 pandemic</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The COVID-19 pandemic, or other epidemic and pandemic diseases or governmental or other actions taken in response to them, could significantly disrupt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Outbreaks of epidemic, pandemic or contagious diseases, such as the recent SARS-CoV-2 virus, or coronavirus, which causes coronavirus disease 2019 (COVID-19) or, historically, the Ebola virus, Middle East Respiratory Syndrome, Severe Acute Respiratory Syndrome or the H1N1 virus, could significantly disrupt our business. These outbreaks pose the risk that we or our employees, contractors, suppliers, and other partners may be prevented from conducting business activities for an indefinite period of time due to spread of the disease within these groups, or due to restrictions that may be requested or mandated by governmental authorities. Business disruptions could include disruptions or restrictions on our ability to travel, as well as temporary closures of all or part of our facilities and the facilities of our partners, clinical trial sites, service providers, suppliers or contract manufacturers. As the COVID-19 pandemic evolves and spreads, both across the United States and through the world, we continue to actively monitor the impact that COVID-19 is having and may have on our business. The pandemic and the measures taken by governmental authorities could disrupt and delay our ongoing clinical trials, our preclinical activities, the manufacture or shipment of both drug substance and finished drug product for our product candidates for preclinical testing and clinical trials and otherwise significantly disrupt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a result of the COVID-19 pandemic, the state of California, where our corporate offices are located, and many counties where our offices are located or our employees reside, have issued and may in the future issue orders for all residents to remain at home, except as needed for essential activities, and have placed restrictions on the scope and conduct of business activities. We have taken steps to ensure the safety of our patients and employees, while working to ensure the sustainability of our business operations as this unprecedented situation continues to evolve. As a result, we have implemented policies that require or permit many of our employees to work remotely. Some of these policies may continue for an indefinite period and may become more restrictive in response to developments related to the pandemic and the associated governmental responses. We continue to evaluate the impact of COVID-19 on the healthcare system and work with healthcare providers supporting our clinical studies to mitigate risk to patients while taking into account regulatory, institutional, and government guidance and policies.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clinical trial sites for our clinical studies may be affected by the COVID-19 outbreak due to prioritization of hospital resources toward the COVID-19 outbreak, travel, quarantine or other restrictions imposed by governments, and the inability to access sites for initiation and patient monitoring and enrollment. As a result, patient screening, new patient enrollment, monitoring and data collection may be affected or delayed. We are aware that several clinical sites involved in our RMC-4630 clinical studies temporarily stopped or delayed enrolling new patients, with exemptions if appropriate, and it is possible that these or other clinical sites may be similarly affected in the future. These developments may delay our clinical trial timelines. Our clinical trials currently permit patients to receive COVID-19 vaccines while they are on study. The potential impact of our candidates on the safety and efficacy of COVID-19 vaccines, and the potential impact on of COVID-19 vaccines on the safety and efficacy of our candidates is unknown at this time, but it possible that adverse impacts will negatively affect our clinical trials.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Although we are currently not aware of any material impacts on our supply chain of our current or potential product candidates as a result of the COVID-19 pandemic, some of our third-party manufacturers which we use for the supply of materials for product candidates or other materials necessary to manufacture product to conduct preclinical tests and clinical trials and contract research organizations that we may utilize may be impacted by COVID-19, and should they experience continued disruptions, such as temporary closures or suspension of services, we would likely experience delays in advancing clinical trials. Furthermore, the spread of the virus may affect the operations of key governmental agencies, such as the U.S. Food and Drug Administration (the FDA), which may delay the development of our product candidates. The spread of an infectious disease, including COVID-19, may also result in the inability of our suppliers to deliver components or raw materials on a timely basis or at all. Such events may result in a period of business disruption, and in reduced operations, or doctors and medical providers may be unwilling to participate in our clinical trials.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a significant outbreak of epidemic, pandemic or contagious diseases in the human population, such as the global COVID-19 pandemic, could result in a widespread health crisis and adversely affect the economies and financial markets of many countries, resulting in an economic downturn that could affect demand for our current or future products.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While the potential economic impact brought by, and the duration of, COVID-19 may be difficult to assess or predict, a continuing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the value of our common stock.</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Risks related to our limited operating history, financial position and need for additional capital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Biopharmaceutical product development is a highly speculative undertaking and involves a substantial degree of risk. We are a clinical-stage precision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limited experience as a company and have not yet demonstrated an ability to successfully overcome many of the risks and uncertainties frequently encountered by companies in new and rapidly evolving fields, particularly in the biopharmaceutical industry.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Since inception, we have incurred significant net losses. Our net losses were $187.1 million, $108.2 million and $47.7 million, for the years ended December 31, 2021, 2020 and 2019, respectively. As of December 31, 2021, we had an accumulated deficit of $452.6 million. We have funded our operations to date primarily with proceeds from the sale of common stock and preferred stock and upfront payments and research and development cost reimbursement received under our collaboration agreement with Genzyme Corporation, an affiliate of Sanofi (the Sanofi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product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have never generated revenue from product sales and may never be profitable.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ability to generate revenue from product sales and achieve profitability depends on our ability, alone or with our collaboration partners, to successfully complete the development of, and obtain the regulatory approvals necessary to commercialize, our development programs. We do not anticipate generating revenue from product sales for the next several years, if ever. Our ability to generate future revenue from product sales depends heavily on our, Sanofi’s, and any potential future collaborators’ success in:</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completing clinical and preclinical development of product candidates and programs and identifying and developing new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seeking and obtaining marketing approvals for any product candidates that we develop;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launching and commercializing product candidates for which we obtain marketing approval by establishing a sales force, marketing, medical affairs and distribution infrastructure or, alternatively, collaborating with a commercialization partner;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achieving adequate coverage and reimbursement by third-party payors for product candidates that we develop;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establishing and maintaining supply and manufacturing relationships with third parties that can provide adequate, in both amount and quality, products and services to support clinical development and the market demand for product candidates that we develop, if approved;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obtaining market acceptance of product candidates that we develop as viable treatment options;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addressing any competing technological and market developments;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negotiating favorable terms in any collaboration, licensing or other arrangements into which we may enter and performing our obligations in such collaborations;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maintaining, protecting, enforcing and expanding our portfolio of intellectual property rights, including patents, trade secrets and know-how;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defending against third-party interference, infringement or other intellectual property-related claims, if any;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attracting, hiring and retaining qualified personnel.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operations have consumed substantial amounts of cash since inception. Since our inception, we have invested a significant portion of our efforts and financial resources in research and development activities for our initial preclinical and clinical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Preclinical studies and clinical trials and additional research and development activities will require substantial funds to complete. As of December 31, 2021, we had cash, cash equivalents and marketable securities of $577.1 million. In February 2020, we raised $250.7 million upon the completion of our initial public offering (IPO), net of underwriting discounts and commissions and offering expenses. In July 2020, we raised $167.8 million upon the completion of a follow-on public offering, net of underwriting discounts and commissions and offering expenses. In February 2021, we raised $281.1 million upon the completion of a follow-on public offering, net of underwriting discounts and commissions and offering expenses. We expect to continue to spend substantial amounts to continue the preclinical and clinical development of our current and future programs. If we are able to gain marketing approval for product candidates that we develop, we will require significant additional amounts of cash in order to launch and commercialize our product candidates to the extent that their launch and commercialization are not the responsibility of Sanofi or another collaborator that we may contract with in the future. In addition, other unanticipated costs may arise. Because the design and outcome of our current, planned and potential future clinical trials is highly uncertain, we cannot reasonably estimate the actual amounts necessary to successfully complete the development and commercialization of any product candidate we develop.</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timing and amount of our future funding requirements depend on many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scope, progress, results and costs of researching and developing our product candidates and programs, and of conducting preclinical studies and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of, and the costs involved in, obtaining marketing approvals for product candidates we develop if clinical trials are successful;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success of our collaboration with Sanofi, including the continued reimbursement by Sanofi of substantially all of our research costs and all of our development costs for our SHP2 program (other than for the RMC-4630-03 study or any RevMed Studies) under the Sanofi Agreement;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whether we achieve certain clinical and regulatory milestones under the Sanofi Agreement, each of which would trigger additional payments to us;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of manufacturing our current and future product candidates for clinical trials in preparation for marketing approval and in preparation for commercialization;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establish and maintain strategic licenses or other arrangements and the financial terms of such agreements;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costs involved in preparing, filing, prosecuting, maintaining, expanding, defending and enforcing patent claims, including litigation costs and the outcome of such litigation;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timing, receipt and amount of sales of, profit share or royalties on, our future products, if any;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emergence of competing cancer therapies or other adverse market developments;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any plans to acquire or in-license other programs or technologies.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Other than our Sanofi collaboration on SHP2 inhibitors, including RMC-4630, we do not have any committed external source of funds or other support for our development efforts. We expect to finance our cash needs through a combination of public or private equity offerings, debt financings, credit or loan facilities,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ability to raise additional funds will depend on financial, economic and other factors, many of which are beyond our control.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Additional funds may not be available when we need them, on terms that are acceptable to us, or at all. If adequate funds are not available to us on a timely basis, we may be required to:</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 limit, reduce or terminate preclinical studies, clinical trials or other research and development activities or eliminate one or more of our development programs altogether;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operating results may fluctuate significantly, which will make our future results difficult to predict and could cause our results to fall below expectations.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and cost of, and level of investment in, research, development and commercialization activities, which may change from time to time;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timing and status of enrollment for our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of regulatory approvals, if any, in the United States and internationally;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of manufacturing, as well as building out our supply chain, which may vary depending on the quantity of productions, and the terms of any agreements we enter into with third-party suppliers;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timing and amount of any milestone, royalty or other payments due under any current or future collaboration or license agreement, including the Sanofi Agreement;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coverage and reimbursement policies with respect to any future approved products, and potential future drugs that compete with our products;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and cost to establish a sales, marketing, medical affairs and distribution infrastructure to commercialize any products for which we may obtain marketing approval and intend to commercialize on our own or jointly with Sanofi;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expenditures that we may incur to acquire, develop or commercialize additional products and technologies;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level of demand for any future approved products, which may vary significantly over time;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future accounting pronouncements or changes in our accounting policies;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timing and success or failure of preclinical studies and clinical trials for our product candidates or competing product candidates, or any other change in the competitive landscape of our industry, including consolidation among our competitors or collaboration partners.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operating guidance we may provide.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Risks related to product development and regulatory process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are early in our development efforts. Only certain of our product candidates are being evaluated in clinical trials whereas our other programs are in the preclinical stage. We have invested substantially all of our efforts and financial resources in the identification of targets and preclinical development of small molecules to treat cancer. 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have not previously submitted a new drug application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success of our current and future product candidates will depend on several factors, including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successful completion of clinical trials and preclinical studies;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sufficiency of our financial and other resources to complete the necessary preclinical studies and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acceptance of investigational new drug applications (INDs) for our planned clinical trials or future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successful enrollment and completion of clinical trials, particularly where competitors may also be recruiting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data from our clinical programs that supports an acceptable risk-benefit profile of our product candidates in the intended populations;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receipt and maintenance of marketing approvals from applicable regulatory authorities;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establishing agreements with third-party manufacturers for clinical supply for our clinical trials and commercial manufacturing, if one of our product candidates is approved;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entry into collaborations to further the development of our product candidates;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obtaining and maintaining our portfolio of intellectual property rights, including patents, trade secrets and know-how;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enforcing and defending intellectual property rights and claims;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obtaining and maintaining regulatory exclusivity for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successfully launching commercial sales of our product candidates, if approved;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acceptance of the product candidate’s benefits and uses, if approved, by patients, the medical community and third-party payors;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prevalence, duration and severity of potential side effects or other safety issues experienced with our product candidates following approval;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effectively competing with other therapies;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obtaining and maintaining healthcare coverage and adequate reimbursement from third-party payors.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order to obtain approval from the FDA or comparable foreign authorities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have two product candidates in clinical development and the rest of our programs are in preclinical research or development. We cannot be certain of the timely completion or outcome of our preclinical studies and cannot predict if the FDA or foreign authorities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w:t>
      </w:r>
      <w:r>
        <w:rPr>
          <w:rFonts w:ascii="Times New Roman" w:hAnsi="Times New Roman"/>
          <w:sz w:val="20"/>
        </w:rPr>
        <w:t xml:space="preserve"> </w:t>
      </w:r>
      <w:r>
        <w:rPr>
          <w:rFonts w:ascii="Times New Roman" w:hAnsi="Times New Roman"/>
          <w:b w:val="false"/>
          <w:sz w:val="20"/>
        </w:rPr>
        <w:t>or decisions to discontinue development associated with the studies of certain programs that are the responsibility of Sanofi or our potential future partners over which we have no control. The commencement and rate of completion of preclinical studies and clinical trials for a product candidate may be delayed by many factors, including, for example:</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sz w:val="20"/>
        </w:rPr>
        <w:t>inability to generate sufficient preclinical or other</w:t>
      </w:r>
      <w:r>
        <w:rPr/>
        <w:t xml:space="preserve"> </w:t>
      </w:r>
      <w:r>
        <w:rPr>
          <w:rFonts w:ascii="Times New Roman" w:hAnsi="Times New Roman"/>
          <w:b w:val="false"/>
          <w:i/>
          <w:sz w:val="20"/>
        </w:rPr>
        <w:t>in vivo</w:t>
      </w:r>
      <w:r>
        <w:rPr/>
        <w:t xml:space="preserve"> </w:t>
      </w:r>
      <w:r>
        <w:rPr>
          <w:rFonts w:ascii="Times New Roman" w:hAnsi="Times New Roman"/>
          <w:b w:val="false"/>
          <w:sz w:val="20"/>
        </w:rPr>
        <w:t>or</w:t>
      </w:r>
      <w:r>
        <w:rPr/>
        <w:t xml:space="preserve"> </w:t>
      </w:r>
      <w:r>
        <w:rPr>
          <w:rFonts w:ascii="Times New Roman" w:hAnsi="Times New Roman"/>
          <w:b w:val="false"/>
          <w:i/>
          <w:sz w:val="20"/>
        </w:rPr>
        <w:t>in vitro</w:t>
      </w:r>
      <w:r>
        <w:rPr/>
        <w:t xml:space="preserve"> </w:t>
      </w:r>
      <w:r>
        <w:rPr>
          <w:rFonts w:ascii="Times New Roman" w:hAnsi="Times New Roman"/>
          <w:b w:val="false"/>
          <w:sz w:val="20"/>
        </w:rPr>
        <w:t xml:space="preserve">data to support the initiation of clinical studies;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in reaching a consensus with regulatory agencies on study design and obtaining regulatory authorization to commence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obtaining sufficient quantities of starting materials, intermediate materials and our product candidates for use in preclinical studies and clinical trials from third-party suppliers on a timely basis;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delays due to the COVID-19 pandemic, including the introduction of remote work policies, or reduced workforce resulting from illness, or delays at our third-party contract research organizations throughout the world, due to similar restrictions imposed by governments or reduced workforce resulting from illness.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Some of our programs focus on the discovery and development of “Beyond Rule of 5” small molecules. Such molecules can be associated with longer development timelines and greater costs compared to traditional small molecule drugs. Our “Beyond Rule of 5” product candidates may take longer to develop and/or manufacture relative to traditional small molecules, and we may not be able to formulate “Beyond Rule of 5” candidates for certain routes of administration.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enlist various technologies and capabilities that give us chemical access to challenging sites on target proteins that generally are not accessible using conventional small molecule drug discovery approaches. For each target, we consider the specific structural, physico-chemical, functional and dynamic properties of the target and deploy the approach or approaches that appear most likely to yield viable development candidates. The “Rule of 5” is a set of criteria used in pharmaceutical drug development to determine whether chemical compounds have certain physico-chemical properties that make them likely to be orally active drugs in humans. In some instances, the compounds we discover and develop are traditional small molecules (i.e. less than 500 daltons) with properties that generally satisfy conventional pharmaceutical “Rule of 5” criteria, while in other cases, they are larger (i.e. more than 500 daltons) “Beyond Rule of 5” (BRo5) compounds that do not satisfy these criteria. For example, our mTORC1 program and our RAS(ON) Inhibitors each include pursuit of BRo5 compounds.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BRo5 compounds have been successfully pursued by many pharmaceutical companies. Examples of BRo5 compounds include natural products and semi-synthetic derivatives, peptidomimetics, macrocycles and degraders. However, larger molecular weight small molecules often cannot be formulated into orally absorbed drugs and also often face solubility, potency, bioavailability and stability challenges, among others. In addition, many of the commonly used predictive and other drug development tools are designed specifically for traditional Rule of 5 small molecule drugs rather than BRo5 molecules, contributing to the difficulty and uncertainty of development of BRo5 compounds.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Due to their size and complexity, drug development of our BRo5 compounds may be slower and/or more expensive than drug development of traditional “Rule of 5” compounds, resulting in program delays, increased costs or failure to obtain regulatory approval in a commercially reasonable timeframe, if at all. Our competitors developing traditional small molecules in areas where we are developing BRo5 compounds could obtain regulatory approval and reach the market before we do. Even if we succeed in generating an approved drug from a BRo5 compound, it may be less convenient to administer, have higher grade and/or more frequent side effects or be more costly to manufacture and formulate than competing products on the market. The discovery and development of BRo5 small molecules may pose risks to us such as:</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BRo5 small molecules may present difficult synthetic chemistry and manufacturing challenges, including with any scale-up of our product candidates in sufficient quality and quantity;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BRo5 small molecules may be challenging to purify, including with any scale-up of our product candidates in sufficient quality and quantity;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BRo5 small molecules may present solubility challenges;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BRo5 small molecules may present oral absorption challenges due to low passive permeability, and may not achieve acceptable oral bioavailability for development and may result in poor pharmaceutical properties for formulation development;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BRo5 small molecules may present cell permeability challenges, especially with regards to lipophilicity, hydrogen bond donor and rotatable bond count, and high topological polar surface area;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BRo5 small molecules may have a propensity to be substrates for efflux proteins such as the adenosine triphosphate (ATP) binding cassette (ABC) transporter protein family, including multidrug resistance protein 1. Cancer cells may overexpress these transporter proteins causing an increase in expulsion of BRo5 small molecules from the cell. For example, as the site of action of our RAS(ON) Inhibitors is inside the cell, expulsion by these transporter proteins may decrease the effective concentration in the cell sufficiently to reduce target inhibition and thereby render a RAS-dependent tumor less susceptible to the inhibitory activity of a BRo5 small molecule, such as our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BRo5 small molecules may present central nervous system (CNS) penetration challenges due to low passive permeability and/or interaction with efflux transporters at the blood-brain barrier and this could limit sensitivity of CNS tumors to BRo5 small molecules;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BRo5 small molecules may present formulation vehicle challenges for administration, such as intravenous and subcutaneous administration, due to aspects such as solubility and hydrophobicity;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BRo5 small molecules may present stability and shelf-life limitations due to the incorporation of labile functionality in their scaffolds, including for example in the development of RMC-5552 which currently requires a cold chain storage of zero degrees Celsius; and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BRo5 small molecules may present off-target toxicities due to physico-chemical properties such as lipophilicity, which is the ability to dissolve fats, oils and lipids, the presence of off-target pharmacophores in the molecule that can interact with other cellular proteins, or other characteristics that have not been fully characterized within a novel chemical scaffold or platform.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These and other risks related to our research and development of BRo5 small molecules may result in delays in development, an increase in development costs and/or the failure to develop any BRo5 small molecule to approval. As a result, our competitors may develop products more rapidly and cost effectively than we do if they are able to target the same indications as our product candidates using conventional small molecules. In particular, competitors may develop and commercialize a product that competes with a RAS(ON) Inhibitor product candidate we may develop, as some of our competitors in this area are pursuing conventional small molecules directed to other forms of RAS, such as RAS(OFF), and are further along in development than we currently are.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The regulatory approval processes of the FDA, the EMA and comparable foreign authorities are lengthy, time-consuming and inherently unpredictable, and if we are ultimately unable to obtain regulatory approval for our product candidates, our business will be substantially harmed.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current and future product candidates could fail to receive regulatory approval for many reasons, including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FDA, the EMA or comparable foreign regulatory authorities may disagree with the design or implementation of our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unable to demonstrate to the satisfaction of the FDA, the EMA or comparable foreign regulatory authorities that a product candidate is safe or effective for its proposed indication or indications;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results of clinical trials may not meet the level of statistical significance required by the FDA, the EMA or comparable foreign regulatory authorities for approval;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unable to demonstrate that a product candidate’s clinical and other benefits outweigh its safety risks;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FDA, the EMA or comparable foreign regulatory authorities may disagree with our interpretation of data from clinical trials or preclinical studies;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data collected from clinical trials of our product candidates may not be sufficient to support the submission of an NDA to the FDA or other submission or to obtain regulatory approval in the United States, the European Union or elsewhere;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approval policies or regulations of the FDA, the EMA or comparable foreign regulatory authorities may significantly change in a manner rendering our clinical data insufficient for approval.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This lengthy approval process as well as the unpredictability of clinical trial results may result in our failing to obtain regulatory approval to market any product candidate we develop.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this data may not be sufficient to support approval by the FDA, the EMA or any other regulatory authority.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addition, even if we were to obtain approval, regulatory authorities may approve any of our product candidates for fewer or more limited indications than we request, may not approve the price we may desire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Further, we have not previously submitted an NDA to the FDA, or a Marketing Authorization Application (MAA) to the EMA. We cannot be certain that any of our programs will be successful in clinical trials or receive regulatory approval. Further, product candidates we develop may not receive regulatory approval even if they are successful in clinical trials. If we do not receive regulatory approvals for our product candidates, we may not be able to continue our operations.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Clinical product development involves a lengthy and expensive process, with uncertain outcomes. We may experience delays in completing, or ultimately be unable to complete, the development and commercialization of our current and future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To obtain the requisite regulatory approvals to commercialize any of our product candidates, we must demonstrate through extensive preclinical studies and clinical trials that our products are safe or effective in humans. Clinical testing is expensive and can take many years to complete, and its outcome is inherently uncertain. Failure can occur at any time during the clinical trial process and our future clinical trial results may not be successful.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actions by regulators, Institutional Review Boards (IRBs) or ethics committees may cause us or our investigators to not commence or conduct a clinical trial at a prospective trial site or at all sites and cause us to pause or stop an in-process clinical trial;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experience delays in reaching, or fail to reach, agreement on acceptable terms with prospective trial sites and prospective contract research organizations (CROs);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number of patients required for clinical trials may be larger than we anticipate;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it may be difficult to enroll a sufficient number of patients for our clinical trials or enrollment in these clinical trials may be slower than we anticipate, including in both cases because appropriate patients must have the relevant mutations in the signaling pathways our therapies are designed to target;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participants may drop out of these clinical trials or fail to return for post-treatment follow-up at a higher rate than we anticipate;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patients may not comply with our clinical trial protocols, particularly with respect to intermittent dosing, which we are evaluating for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supply or quality of materials for product candidates we develop or other materials necessary to conduct clinical trials may be insufficient or inadequate;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our collaborators may delay the development process by waiting to take action or focusing on other priorities.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could encounter delays if a clinical trial is suspended or terminated by us, by the IRBs or ethics committees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Clinical trial delays could also allow our competitors to bring products to market before we do or shorten any periods during which we have the exclusive right to commercialize our product candidates and impair our ability to commercialize our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clinical trial sites may be affected by the COVID-19 outbreak due to prioritization of hospital resources toward the COVID-19 outbreak, travel or quarantine restrictions imposed by governments, and the inability to access sites for initiation and patient monitoring and enrollment. As a result, patient screening, new patient enrollment, monitoring and data collection may be affected or delayed. We are aware that several clinical sites involved in our clinical studies temporarily stopped or delayed enrolling new patients, with exemptions if appropriate, and it is possible that these or other clinical sites may be similarly affected in the future.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These developments may delay our clinical trial timelines. Our clinical trials currently permit patients to receive COVID-19 vaccines while they are on study. The potential impact of our candidates on the safety and efficacy of COVID-19 vaccines, and the potential impact on of COVID-19 vaccines on the safety and efficacy of our candidates is unknown at this time, but it possible that adverse impacts will negatively affect our clinical trials.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Some of our third-party manufacturers which we use for the supply of materials for product candidates or other materials necessary to manufacture product to conduct clinical trials and contract research organizations that we may utilize may be impacted by COVID-19, and should they experience disruptions, such as temporary closures or suspension of services, we would likely experience delays in advancing these trials.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Many of the factors described above that cause, or lead to, a delay in the commencement or completion of clinical trials may also ultimately lead to the denial of regulatory approval of our product candidates or result in the development of our product candidates being stopped early.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Historically, direct inhibition of any RAS protein has been challenging due to a lack of tractable, or “druggable,” binding pockets and we are not aware of any programs in clinical development that have successfully targeted any RAS(ON) protein. Given this approach is unproven, it may not be successful.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Historically, direct inhibition of any RAS protein has been challenging due to a lack of tractable, or “druggable,” binding pockets. Our tri-complex technology has enabled us to design potent, cell-active inhibitors of multiple mutant RAS(ON) proteins. We are not aware of any programs in clinical development that have successfully targeted any RAS(ON) protein. We cannot be certain that our approach will lead to the development of approvable or marketable products, alone or in combination with other therapies.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The results of preclinical studies and early-stage clinical trials may not be predictive of future results.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results of preclinical studies may not be predictive of the results of clinical trials, and the results of any early-stage clinical trials we commence may not be predictive of the results of the later-stage clinical trials. Product candidates in later stages of clinical trials may fail to show the desired safety and efficacy despite having progressed through preclinical studies and initial clinical trials. For example, historically, targeted therapies have been susceptible to resistance mutations in cancer cells that facilitate escape from anti-tumor response. Should such resistance mutations arise in patients being treated with our product candidates, the clinical benefit associated with those candidates may be compromised.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can be no assurance that any of our current or future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 Even if our clinical trials are completed, the results may not be sufficient to obtain regulatory approval of any products.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Interim, “topline” and preliminary data from our clinical trials may differ materially from the final data.</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From time to time, we may disclose interim data from our clinical trials. For example, we have reported interim Phase 1 clinical data for RMC-4550 as a single agent and interim Phase 1 clinical data for RMC-4630 as a single agent. In each case, this interim data included a limited number of patients and time of exposure to the study drug. Interim data from clinical trials are subject to the risk that one or more of the clinical outcomes may materially change as patient enrollment continues and more data on existing patients become available. Our clinical trial program is ongoing, and the final results may be materially different from those reflected in any interim data we report.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subject to audit and verification procedures that may result in the final data being materially different from the preliminary data we previously published. As a result, topline data should be viewed with caution until the final data are available.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we encounter difficulties enrolling patients in our clinical trials, our clinical development activities could be delayed or otherwise be adversely affected.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patient eligibility criteria defined in the protocol;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enroll a sufficient number of patients with mutations in the signaling pathways our therapies are designed to target;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size of the patient population required for analysis of the trial’s primary endpoints;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proximity of patients to study sites;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design of the trial;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recruit clinical trial investigators with the appropriate competencies and experience;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clinicians’ and patients’ perceptions as to the potential advantages of the product candidate being studied in relation to other available therapies, including any new products that may be approved for the indications we are investigating;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obtain and maintain patient consents for participation in our clinical trials and, where appropriate, biopsies for future patient enrichment efforts;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risk that patients enrolled in clinical trials will not remain on the trial through the completion of evaluation;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ability of our clinical trial investigators to enroll patients in cases of outbreak of disease, including COVID-19, or other natural disasters.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our clinical trials will compete with approved therapies, including sotorasib, as well as other clinical trials for product candidates that are in the same therapeutic areas (and that seek to evaluate patients with cancer cells having the same mutations, particularly with patients having KRAS</w:t>
      </w:r>
      <w:r>
        <w:rPr>
          <w:rFonts w:ascii="Times New Roman" w:hAnsi="Times New Roman"/>
          <w:b w:val="false"/>
          <w:sz w:val="13"/>
        </w:rPr>
        <w:t xml:space="preserve">G12C </w:t>
      </w:r>
      <w:r>
        <w:rPr>
          <w:rFonts w:ascii="Times New Roman" w:hAnsi="Times New Roman"/>
          <w:b w:val="false"/>
          <w:sz w:val="20"/>
        </w:rPr>
        <w:t>mutations, including Sanofi’s planned study of RMC-4630 in combination with adagrasib) as our current and potential future product candidates. This competition and competition with approved therapies, including sotorasib, will reduce the number and types of patients available to us, because some patients who might have opted to enroll in our trials may instead opt to</w:t>
      </w:r>
      <w:r>
        <w:rPr>
          <w:rFonts w:ascii="Times New Roman" w:hAnsi="Times New Roman"/>
          <w:sz w:val="20"/>
        </w:rPr>
        <w:t xml:space="preserve"> </w:t>
      </w:r>
      <w:r>
        <w:rPr>
          <w:rFonts w:ascii="Times New Roman" w:hAnsi="Times New Roman"/>
          <w:b w:val="false"/>
          <w:sz w:val="20"/>
        </w:rPr>
        <w:t>pursue a treatment regime using an approved therapy or enroll in a trial conducted by one of our competitors. Since the number of qualified clinical investigators is limited, we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clinical trial sites for our clinical studies may be affected by the COVID-19 outbreak due to prioritization of hospital resources toward the COVID-19 outbreak, travel or quarantine restrictions imposed by governments, and the inability to access sites for initiation and patient monitoring and enrollment. As a result, patient screening, new patient enrollment, monitoring and data collection may be affected or delayed. We are aware that several clinical sites involved in our RMC-4630 clinical studies temporarily stopped or delayed enrolling new patients, with exemptions if appropriate, and it is possible that these or other clinical sites may be similarly affected in the future. These developments may delay our clinical trial timelines. Some of our third-party manufacturers which we use for the supply of materials for product candidates or other materials necessary to manufacture product to conduct clinical trials and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contract research organizations that we may utilize may be impacted by COVID-19, and should they experience disruptions, such as temporary closures or suspension of services, we would likely experience delays in advancing these trials.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Delays in patient enrollment may result in increased costs or may affect the timing or outcome of clinical trials, which could prevent completion of these trials and adversely affect our ability to advance the development of the product candidates we develop.</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For example, the safety data we released in 2020 for both our RMC-4630-01 and RMC-4630-02 trials included both serious adverse events (SAEs) and other adverse events (AEs).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Although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demonstrated that our product candidates are safe in humans, and we cannot predict if ongoing or future clinical trials will do so.</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Furthermore, certain of our product candidates are currently being, and may in the future be, co-administered with approved or experimental therapies, such as the combinations of RMC-4630 with Amgen’s KRAS</w:t>
      </w:r>
      <w:r>
        <w:rPr>
          <w:rFonts w:ascii="Times New Roman" w:hAnsi="Times New Roman"/>
          <w:b w:val="false"/>
          <w:sz w:val="13"/>
        </w:rPr>
        <w:t>G12C</w:t>
      </w:r>
      <w:r>
        <w:rPr>
          <w:rFonts w:ascii="Times New Roman" w:hAnsi="Times New Roman"/>
          <w:b w:val="false"/>
          <w:sz w:val="20"/>
        </w:rPr>
        <w:t>(OFF) inhibitor sotorasib, Merck’s PD-1 inhibitor pembrolizumab, Mirati’s KRAS</w:t>
      </w:r>
      <w:r>
        <w:rPr>
          <w:rFonts w:ascii="Times New Roman" w:hAnsi="Times New Roman"/>
          <w:b w:val="false"/>
          <w:sz w:val="13"/>
        </w:rPr>
        <w:t>G12C</w:t>
      </w:r>
      <w:r>
        <w:rPr>
          <w:rFonts w:ascii="Times New Roman" w:hAnsi="Times New Roman"/>
          <w:b w:val="false"/>
          <w:sz w:val="20"/>
        </w:rPr>
        <w:t>(OFF) inhibitor adagrasib or Lilly’s investigational ERK inhibitor LY3214996, which is the subject of a potential investigator sponsored trial with the Netherlands Cancer Institute. These combinations may have additional side effects, including those that could lead us to discontinue the studies. The uncertainty resulting from the use of our product candidates in combination with other therapies may make it difficult to accurately predict side effects in future clinical trials.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any of our product candidates receives marketing approval and we or others later identify undesirable side effects caused by such products, a number of potentially significant negative consequences could result,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regulatory authorities may withdraw their approval of the product;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required to recall a product or change the way such product is administered to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additional restrictions may be imposed on the marketing of the particular product or the manufacturing processes for the product or any component thereof;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regulatory authorities may require the addition of labeling statements, such as a “black box” warning or a contraindication;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be required to implement a Risk Evaluation and Mitigation Strategy (REMS) or create a Medication Guide outlining the risks of such side effects for distribution to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could be sued and held liable for harm caused to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product may become less competitive;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our reputation may suffer.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Any of the foregoing events could prevent us from achieving or maintaining market acceptance of the particular product candidate, if approved. In addition, if one or more of our product candidates prove to be unsafe, our entire technology platform and pipeline could be affected.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Even if we complete the necessary preclinical studies and clinical trials, the marketing approval process is expensive, time-consuming and uncertain and may prevent us or any of our existing or potential future collaboration partners from obtaining approvals for the commercialization of any product candidate we develop.</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Any current or future product candidate we may develop and the activities associated with their development and commercialization, including their design, testing, manufacture, safety, efficacy, recordkeeping, labeling, storage, approval, advertising, promotion, sale,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we experience delays in obtaining approval or if we fail to obtain approval of any current or future product candidates we may develop, the commercial prospects for those product candidates may be harmed.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Obtaining and maintaining marketing approval of our current and future product candidates in one jurisdiction does not mean that we will be successful in obtaining marketing approval of our current and future product candidates in other jurisdictions.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may charge for our products is also subject to approval.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receive applicable marketing approvals, our target market will be reduced and our ability to realize the full market potential of our product candidates will be harmed.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Adverse events in the field of oncology or the biopharmaceutical industry could damage public perception of our current or future product candidates and negatively affect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and unproven. Adverse events in clinical trials of our product candidates, or post-marketing activities, or in clinical trials of others developing similar products or that are related to approved targeted therapies, particularly those targeting oncogenic RAS pathway mutations, including sotorasib, and adagrasib and the resulting publicity, as well as any other adverse events in the field of oncology that may occur in the future, could result in a decrease in demand for any product that we may develop. If public perception is influenced by claims that the use of cancer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therapies is unsafe, whether related to our therapies or those of our competitors, our products may not be accepted by the general public or the medical community.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Future adverse events in 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product candidates we develop.</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current Good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Manufacturing Practice (cGMP) and Good Clinical Practice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restrictions on the marketing or manufacturing of the product, withdrawal of the product from the market, or product recalls;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fines, untitled and warning letters, or holds on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refusal by the FDA to approve pending applications or supplements to approved applications we filed or suspension or revocation of license approvals;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product seizure or detention, or refusal to permit the import or export of the product;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injunctions or the imposition of civil or criminal penalties.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Even if a current or future product candidate receives marketing approval, it may fail to achieve the degree of market acceptance by physicians, patients, third-party payors and others in the medical community necessary for commercial success.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to be a viable product. For example, current approved immunotherapies, and other cancer treatments like chemotherapy and radiation therapy, are well established in the medical community, and doctors may continue to rely on these therapies. The degree of market acceptance of any product candidate, if approved for commercial sale, will depend on a number of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efficacy and potential advantages compared to alternative treatments;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ability to offer our products, if approved, for sale at competitive prices;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convenience and ease of administration compared to alternative treatments;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willingness of the target patient population to try new therapies and of physicians to prescribe these therapies;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strength of marketing and distribution support;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ability to obtain sufficient third-party coverage and adequate reimbursement, including with respect to the use of the approved product as a combination therapy;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adoption of a companion diagnostic and/or complementary diagnostic (if any);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prevalence and severity of any side effects.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The market opportunities for any current or future product candidate we develop, if and when approved, may be limited to those patients who are ineligible for established therapies or for whom prior therapies have failed, and may be small.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any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number of patients who have the cancers we are targeting, including those with the necessary mutations,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commercial success without obtaining marketing approval for additional indications, including to be used as first- or second-line therapy.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are currently developing and may in the future develop our product candidates in combination with other therapies, which exposes us to additional risks.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are developing RMC-4630 in combination with Amgen’s KRAS</w:t>
      </w:r>
      <w:r>
        <w:rPr>
          <w:rFonts w:ascii="Times New Roman" w:hAnsi="Times New Roman"/>
          <w:b w:val="false"/>
          <w:sz w:val="13"/>
        </w:rPr>
        <w:t>G12C</w:t>
      </w:r>
      <w:r>
        <w:rPr>
          <w:rFonts w:ascii="Times New Roman" w:hAnsi="Times New Roman"/>
          <w:b w:val="false"/>
          <w:sz w:val="20"/>
        </w:rPr>
        <w:t>(OFF) inhibitor sotorasib, Mirati’s KRAS</w:t>
      </w:r>
      <w:r>
        <w:rPr>
          <w:rFonts w:ascii="Times New Roman" w:hAnsi="Times New Roman"/>
          <w:b w:val="false"/>
          <w:sz w:val="13"/>
        </w:rPr>
        <w:t>G12C</w:t>
      </w:r>
      <w:r>
        <w:rPr>
          <w:rFonts w:ascii="Times New Roman" w:hAnsi="Times New Roman"/>
          <w:b w:val="false"/>
          <w:sz w:val="20"/>
        </w:rPr>
        <w:t>(OFF) inhibitor adagrasib and Merck’s PD-1 inhibitor pembrolizumab, and may in the future, develop RMC-4630 and other product candidates in combination with one or more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w:t>
      </w:r>
      <w:r>
        <w:rPr>
          <w:rFonts w:ascii="Times New Roman" w:hAnsi="Times New Roman"/>
          <w:sz w:val="20"/>
        </w:rPr>
        <w:t xml:space="preserve"> </w:t>
      </w:r>
      <w:r>
        <w:rPr>
          <w:rFonts w:ascii="Times New Roman" w:hAnsi="Times New Roman"/>
          <w:b w:val="false"/>
          <w:sz w:val="20"/>
        </w:rPr>
        <w:t>or our collaborators may also evaluate our current or future product candidates in combination with one or more other cancer therapies that have not yet been approved for marketing by the FDA or similar regulatory authorities outside of the United States or with approved cancer therapies at an unapproved dose and/or schedule, and/or with approved cancer therapies in unapproved indications. For example, we plan to provide RMC-4630 to Sanofi to support their evaluation of RMC-4630 in combination with adagrasib and to the Netherlands Cancer Institute to support their evaluation of RMC-4630 in combination with Lilly’s ERK inhibitor LY3214996. We will not be able to market and sell any product candidate we develop in combination with any such cancer therapies, outside existing approved labels that do not ultimately obtain marketing approval.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the FDA or similar regulatory authorities outside of the United States do not approve the drugs we choose to evaluate in combination with or any product candidate we develop or revoke their approval of, or if safety, efficacy, manufacturing, or supply issues arise with, these drugs, we may be unable to obtain approval of or market or any product candidate we develop.</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 addition, Sanofi primarily controls the research and development activities of our SHP2 inhibitors, including RMC-4630, pursuant to the terms of the Sanofi Agreement, and may disagree with us regarding which other therapies should be evaluated in combination with RMC-4630. As a result of any such disagreement, our completion of a trial in combination with our preferred combination product candidate may be delayed or prevented.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face significant competition, and if our competitors develop and market products that are more effective, safer or less expensive than the product candidates we develop, our commercial opportunities will be negatively impacted.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life sciences industry is highly competitive. We are currently developing therapies that will compete, if approved, with other products and therapies that currently exist or are being developed. Products we may develop in the future are also likely to face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competition from other products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is a large number of companies developing or marketing treatments for cancer, including many major pharmaceutical and biotechnology companies. These treatments consist of small molecule drug products, biologics, cell-based therapies and traditional chemotherapy. Smaller and other early stage companies may also prove to be significant competitors. In addition, academic research departments and public and private research institutions may be conducting research on compounds that could prove to be competitive.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are also several programs in development targeting SHP2, including those clinical programs run by Novartis AG, Jacobio Pharmaceuticals Co. Ltd. (licensed to AbbVie Inc.), Relay Therapeutics Inc. (licensed to Roche), Erasca, Inc., Navire Pharma, Inc., InnoCare Pharma Ltd., and Genhouse Bio Co. Ltd. There are several RAS pathway mutations programs, including those directed at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and KRAS</w:t>
      </w:r>
      <w:r>
        <w:rPr>
          <w:rFonts w:ascii="Times New Roman" w:hAnsi="Times New Roman"/>
          <w:b w:val="false"/>
          <w:sz w:val="13"/>
        </w:rPr>
        <w:t xml:space="preserve">G12D </w:t>
      </w:r>
      <w:r>
        <w:rPr>
          <w:rFonts w:ascii="Times New Roman" w:hAnsi="Times New Roman"/>
          <w:b w:val="false"/>
          <w:sz w:val="20"/>
        </w:rPr>
        <w:t>mutations, including clinical programs directed at KRAS</w:t>
      </w:r>
      <w:r>
        <w:rPr>
          <w:rFonts w:ascii="Times New Roman" w:hAnsi="Times New Roman"/>
          <w:b w:val="false"/>
          <w:sz w:val="13"/>
        </w:rPr>
        <w:t xml:space="preserve">G12C </w:t>
      </w:r>
      <w:r>
        <w:rPr>
          <w:rFonts w:ascii="Times New Roman" w:hAnsi="Times New Roman"/>
          <w:b w:val="false"/>
          <w:sz w:val="20"/>
        </w:rPr>
        <w:t>(OFF) being conducted by Amgen Inc., Mirati Therapeutics, Inc., Roche, Jacobio Pharmaceuticals Co. Ltd., Betta Pharmaceuticals Co., Ltd., Novartis AG, InventisBio, Eli Lilly, InnoCare Pharma Ltd., Innovent Biologics, Inc. and Genhouse Bio Co. Ltd. Other clinical programs directed at mutant RAS are being conducted, including those by Merck &amp; Co./Moderna Therapeutics, Boehringer Ingelheim, Chugai Pharmaceutical Co. and Gilead Sciences, Inc. Smaller and other early-stage companies, such as Frontier Medicines, may also prove to be significant competitors. In addition, academic research departments and public and private research institutions may be conducting research on compounds that could prove to be competitive.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Even if we are able to commercialize any product candidates, such products may become subject to unfavorable pricing regulations or third-party coverage and reimbursement policies, which would harm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ability to commercialize any product candidates, whether as a single agent or combination therapy, successfully also will depend in part on the extent to which coverage and reimbursement for these product candidates and related treatments will be available from</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government authorities, private health insurers and other organizations. Government authorities and third-party payors, such as private health insurers and health maintenance organizations, decide which medications they will pay for and establish reimbursement levels.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It is difficult to predict at this time what government authorities and third-party payors will decide with respect to coverage and reimbursement for our programs.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product candidate that we commercialize and, if coverage is available, the level of reimbursement. These third-party payors are also examining the cost-effectiveness of drugs in addition to their safety and efficacy.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fail to select or capitalize on the most scientifically, clinically and commercially promising or profitable mutant RAS(ON) targets.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have limited technical, managerial and financial resources to determine which of our lead generation stage RAS(ON) Inhibitors should be advanced into further preclinical development, initial clinical trials, later-stage clinical development and potential commercialization. From our RAS(ON) Inhibitors that have completed our lead optimization phase of preclinical development, we have selected RMC-6291, our inhibitor targeting KRAS</w:t>
      </w:r>
      <w:r>
        <w:rPr>
          <w:rFonts w:ascii="Times New Roman" w:hAnsi="Times New Roman"/>
          <w:b w:val="false"/>
          <w:sz w:val="13"/>
        </w:rPr>
        <w:t>G12C</w:t>
      </w:r>
      <w:r>
        <w:rPr>
          <w:rFonts w:ascii="Times New Roman" w:hAnsi="Times New Roman"/>
          <w:b w:val="false"/>
          <w:sz w:val="20"/>
        </w:rPr>
        <w:t>(ON), RMC-6236, our inhibitor of multiple RAS variants, which we refer to as RAS</w:t>
      </w:r>
      <w:r>
        <w:rPr>
          <w:rFonts w:ascii="Times New Roman" w:hAnsi="Times New Roman"/>
          <w:b w:val="false"/>
          <w:sz w:val="13"/>
        </w:rPr>
        <w:t>MULTI</w:t>
      </w:r>
      <w:r>
        <w:rPr>
          <w:rFonts w:ascii="Times New Roman" w:hAnsi="Times New Roman"/>
          <w:b w:val="false"/>
          <w:sz w:val="20"/>
        </w:rPr>
        <w:t>(ON), RMC-9805, our inhibitor targeting KRAS</w:t>
      </w:r>
      <w:r>
        <w:rPr>
          <w:rFonts w:ascii="Times New Roman" w:hAnsi="Times New Roman"/>
          <w:b w:val="false"/>
          <w:sz w:val="13"/>
        </w:rPr>
        <w:t>G12D</w:t>
      </w:r>
      <w:r>
        <w:rPr>
          <w:rFonts w:ascii="Times New Roman" w:hAnsi="Times New Roman"/>
          <w:b w:val="false"/>
          <w:sz w:val="20"/>
        </w:rPr>
        <w:t>(ON) and RMC-8839, our inhibitor targeting KRAS</w:t>
      </w:r>
      <w:r>
        <w:rPr>
          <w:rFonts w:ascii="Times New Roman" w:hAnsi="Times New Roman"/>
          <w:b w:val="false"/>
          <w:sz w:val="13"/>
        </w:rPr>
        <w:t>G13C</w:t>
      </w:r>
      <w:r>
        <w:rPr>
          <w:rFonts w:ascii="Times New Roman" w:hAnsi="Times New Roman"/>
          <w:b w:val="false"/>
          <w:sz w:val="20"/>
        </w:rPr>
        <w:t>(ON) for IND-enabling preclinical development. In selecting these or other development candidates, we may make incorrect determinations. Our decisions to allocate our research and development, management and financial resources toward particular development candidates or therapeutic areas may not lead to the development of viable commercial products and may divert resources from better opportunities. Similarly, our decisions to delay or terminate development programs may also be incorrect and could cause us to miss valuable opportunities.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not be successful in our efforts to identify or discover other product candidates and may fail to capitalize on programs or product candidates that may present a greater commercial opportunity or for which there is a greater likelihood of success.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success of our business depends upon our ability to identify, develop and commercialize product candidates. Research programs to identify new product candidates require substantial technical, financial and human resources, and we may fail to identify potential product candidates for numerous reasons.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Additionally, because we have limited resources beyond those provided by Sanofi on SHP2 and RMC-4630, we may forego or delay pursuit of opportunities with certain programs or product candidates or for indications that later prove to have greater commercial potential. However, the advancement of this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For example, we licensed worldwide development and commercialization rights with respect to RMC-4630 to Sanofi and will receive only</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milestone payments, an equal share of profits and losses in the United States and royalties on annual net sales of each product outside the United States. Alternatively, we may allocate internal resources to a product candidate in a therapeutic area in which it would have been more advantageous to enter into a partnering arrangement.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any of these events occur, we may be forced to abandon or delay our development efforts with respect to a particular product candidate or fail to develop a potentially successful product candidate.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need to use existing commercial diagnostic tests or develop, or enter into a collaboration or partnership to develop, novel complementary diagnostics and/or novel companion diagnostics for some of our current or future product candidates. If we or our future partners are unable to successfully develop these companion diagnostics or complementary diagnostics, or experience significant delays in doing so, we may not realize the full commercial potential of our future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(such as Foundation Medicine’s FoundationOne</w:t>
      </w:r>
      <w:r>
        <w:rPr>
          <w:rFonts w:ascii="Times New Roman" w:hAnsi="Times New Roman"/>
          <w:b w:val="false"/>
          <w:sz w:val="13"/>
        </w:rPr>
        <w:t>®</w:t>
      </w:r>
      <w:r>
        <w:rPr>
          <w:rFonts w:ascii="Times New Roman" w:hAnsi="Times New Roman"/>
          <w:b w:val="false"/>
          <w:sz w:val="20"/>
        </w:rPr>
        <w:t>CDX), or develop novel complementary diagnostics and/or novel companion diagnostics in collaboration with partners.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the event that novel tests will need to be developed, we have little experience in the development of diagnostics. As such, we expect to rely on future partners in developing appropriate diagnostics to pair with our current or future product candidates. We may be unsuccessful in entering into collaborations for the development of companion diagnostics for our programs and our current or future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Complementary diagnostics and/or companion diagnostics are subject to regulation by the FDA and similar regulatory authorities outside the United States as medical devices and require separate regulatory approval or clearance prior to commercialization. If we, our partners, or any third parties that we engage to assist us, are unable to successfully develop complementary diagnostics and/or companion diagnostics for our product candidates and any future product candidates, or experience delays in doing so:</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development of our product candidates and any other future product candidates may be adversely affected if we are unable to appropriately select patients for enrollment in our clinical trials;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or foreign regulators may disagree that we have met the requirements for such approval.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the FDA may reach a different conclusion and not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Jurisdictions where we may seek to pursue product candidates outside of the United States have processes similar to the breakthrough designation and fast track processes described above, and to the extent we desire to enter these markets, we will face similar risks and challenges as those described in the United States.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seek orphan drug designation for product candidates we develop, and we may be unsuccessful or may be unable to maintain the benefits associated with orphan drug designation, including the potential for market exclusivity.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part of our business strategy, we may seek orphan drug designation for product candidates we develop. Regulatory authorities in some jurisdictions, including the United States, may designate drugs for relatively small patient populations as orphan drugs or, in Europe, orphan medicinal products.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Similarly, in Europe, the European Commission grants orphan medicinal product designation after receiving the opinion of the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for the same disease or condition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may be unsuccessful in obtaining orphan drug designation for our product candidates. In addition, even if we obtain orphan drug exclusivity for a product candidate, that exclusivity may not effectively protect the product candidate from competition because different therapies can be approved for the same condition. Even after an orphan drug is approved, the FDA can subsequently approve the same drug for the same disease or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product liability lawsuits are brought against us, we may incur substantial liabilities and may be required to limit commercialization of any approved products.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face an inherent risk of product liability as a result of the clinical testing of product candidates and will face an even greater risk if we commercialize any products. For example, we may be sued if any product candidate we develop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Regardless of the merits or eventual outcome, liability claims may result in:</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decreased demand for any approved product;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injury to our reputation;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withdrawal of clinical trial participants;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initiation of investigations by regulators;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costs to defend the related litigation;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diversion of management’s time and our resources;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substantial monetary awards to trial participants or patients;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product recalls, withdrawals or labeling, marketing or promotional restrictions;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exhaustion of any available insurance and our capital resources and potential increase in our insurance premiums and/or retention amounts;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inability to commercialize any product candidate.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inability to obtain sufficient product liability insurance at an acceptable cost to protect against potential product liability claims could prevent or inhibit the commercialization of products we develop, alone or with collaboration partners.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Sanofi or any future collaborator entitle us to indemnification against losses, such indemnification is limited and may not be available or adequate should any claim arise.</w:t>
      </w:r>
      <w:r>
        <w:rPr>
          <w:rFonts w:ascii="Times New Roman" w:hAnsi="Times New Roman"/>
          <w:sz w:val="20"/>
        </w:rPr>
        <w:t xml:space="preserve"> </w:t>
      </w:r>
    </w:p>
    <w:p>
      <w:pPr>
        <w:pStyle w:val="TextBody"/>
        <w:spacing w:lineRule="auto" w:line="252" w:before="0" w:after="0"/>
        <w:jc w:val="left"/>
        <w:rPr/>
      </w:pPr>
      <w:r>
        <w:rPr/>
        <w:t> </w:t>
      </w:r>
    </w:p>
    <w:p>
      <w:pPr>
        <w:pStyle w:val="TextBody"/>
        <w:spacing w:lineRule="auto" w:line="252" w:before="0" w:after="0"/>
        <w:jc w:val="left"/>
        <w:rPr>
          <w:rFonts w:ascii="Times New Roman" w:hAnsi="Times New Roman"/>
          <w:sz w:val="20"/>
        </w:rPr>
      </w:pPr>
      <w:r>
        <w:rPr>
          <w:rFonts w:ascii="Times New Roman" w:hAnsi="Times New Roman"/>
          <w:b/>
          <w:i/>
          <w:sz w:val="20"/>
        </w:rPr>
        <w:t>Healthcare legislative reform measures may have a material adverse effect on our business and results of operations.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the United States, there have been and continue to be a number of legislative initiatives to contain healthcare costs. For example, in March 2010, the Affordable Care Act (the ACA) was passed, which substantially changes the way healthcare is financed by both governmental and private insurers, and significantly impacts the U.S. pharmaceutical industry.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Since its enactment, there have been judicial, executive and Congressional challenges to certain aspects of the ACA. In June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r>
        <w:rPr>
          <w:rFonts w:ascii="Times New Roman" w:hAnsi="Times New Roman"/>
          <w:sz w:val="20"/>
        </w:rPr>
        <w:t xml:space="preserve"> </w:t>
      </w:r>
      <w:r>
        <w:rPr>
          <w:rFonts w:ascii="Times New Roman" w:hAnsi="Times New Roman"/>
          <w:b w:val="false"/>
          <w:sz w:val="20"/>
        </w:rPr>
        <w:t>It is unclear how healthcare reform measures enacted by Congress or implemented by the Biden administration, if any, will impact our business.</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Other legislative changes have been proposed and adopted in the United States since the ACA was enacted. In August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unless additional congressional action is taken. In addition, in January 2013, the American Taxpayer Relief Act of 2012 was signed into law, which, among other things, further reduced Medicare payments to several types of providers.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diagnostics or companion diagnostics or additional pricing pressures.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FDA regulations and guidance may be revised or reinterpreted by the FDA in ways that may significantly affect our business.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Disruptions at the FDA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Separately, in response to the COVID-19 pandemic, in March 2020, the FDA announced its intention to postpone most inspections of foreign manufacturing facilities and products and, on March 18, 2020, the FDA temporarily postponed routine surveillance inspections of domestic manufacturing facilities. Subsequently, in July 2020, the FDA resumed certain on-site inspections of domestic manufacturing facilities subject to a risk-based prioritization system. The utilized this risk-based assessment system to assist in determining when and where it is safest to conduct prioritized domestic inspections. Additionally, in April 2021, the FDA issued a guidance document in which the FDA described its plans to conduct voluntary remote interactive evaluations of certain drug manufacturing facilities and clinical research sites, among other facilities. According to this guidance, the FDA may request such remote interactive evaluations in situations where the FDA determines that remote evaluation would be appropriate based on mission needs and travel limitations. In May 2021, the FDA outlined a detailed plan to move toward a more consistent state of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effect on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subject to stringent privacy laws, information security policies and contractual obligations governing the use, processing and transfer of personal information.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Further, various states have implemented certain data privacy and security laws and regulations that impose restrictive requirements regulating the use and disclosure of health-related and other personal information. California enacted the California Consumer Privacy Act (CCPA), which creates individual privacy rights for California consumers and increases the privacy and security obligations of entities handling certain personal data. The CCPA went into effect on January 1, 2020, and became enforceable by the California Attorney General on July 1, 2020. Further, the California Privacy Rights Act (CPRA) was approved by California voters in the November 3, 2020 election. The CPRA will significantly modify the CCPA and will impose additional data protection obligations on covered businesses, including additional consumer rights processes, limitations on data uses, new audit requirements for higher risk data, and opt outs for certain uses of sensitive data. The CPRA also creates a new state agency that will be vested with authority to implement and enforce the CCPA and the CPRA.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State laws and regulations are not necessarily preempted by federal laws and regulations, such as HIPAA, particularly if a state affords greater protection to individuals than federal law. Where state laws are more protective, we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data we receive, use and share, potentially exposing us to additional expense, adverse publicity and liability. Legal requirements relating to the collection, storage, handling, and transfer of personal information and personal data continue to evolve and may result in increased public scrutiny and escalating levels of enforcement, sanctions and increased costs of compliance.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collection and use of personal data in the EU and the European Economic Area (EEA), are governed by the GDPR. The GDPR imposes stringent requirements for controllers and processors of personal data. The GDPR also imposes strict rules on the transfer of personal data out of the EU and the EEA to the United States and other third countries. In July 2020, the Court of Justice of the European Union (CJEU) limited how organizations could lawfully transfer personal data from the EU/EEA to the United States by invalidating the Privacy Shield for purposes of international transfers and imposing further restrictions on the use of standard contractual clauses (SCCs).</w:t>
      </w:r>
      <w:r>
        <w:rPr>
          <w:rFonts w:ascii="Times New Roman" w:hAnsi="Times New Roman"/>
          <w:sz w:val="20"/>
        </w:rPr>
        <w:t xml:space="preserve"> </w:t>
      </w:r>
      <w:r>
        <w:rPr>
          <w:rFonts w:ascii="Times New Roman" w:hAnsi="Times New Roman"/>
          <w:b w:val="false"/>
          <w:sz w:val="20"/>
        </w:rPr>
        <w:t>The European Commission issued revised SCCs in June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and laid its proposal before Parliament, with the UK SCCs expected to come into force in March 2022, with a two-year grace period. There is some uncertainty around whether the revised clauses can be used for all types of data transfers, particularly whether they can be relied on for data transfers to non-EEA entities subject to the GDPR. Further, in September 2020, the Swiss Federal Data Protection and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Information Commissioner issued an opinion that stated it no longer considers the Swiss-U.S. Privacy Shield adequate for the purposes of personal data transfers from Switzerland to the United States. These developments may result in European data protection regulators applying differing standards for, and requiring ad hoc verification of, transfers of personal data from Europe to the United States. To the extent that we engage in such transfers, including through third-party vendors, if we are unable to implement safeguards to ensure that our transfers are lawful or if any safeguards upon which we rely are invalidated, we will face increased exposure to litigation, regulatory actions, fines, and injunctions against data processing. If we are unable to engage in such transfers because there is no lawful mechanism to do so, the functionality or effectiveness of our products and services may decrease and our marketing efforts, plans and activities may be adversely impacted. In addition, the GDPR provides that EU and EEA member states may make their own further laws and regulations limiting the processing of personal data, including biometric or health data.</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GDPR applies extraterritorially, and we may be subject to the GDPR because of our data processing activities that involve the personal data of individuals located in the EEA, such as in connection with any EEA clinical trials. GDPR regulations may impose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Other jurisdictions outside the EEA are similarly introducing or enhancing privacy and data security laws, rules and regulations, which could increase our compliance costs and the risks associated with non-compliance. We cannot guarantee that we or our vendors may be in compliance with all applicable international regulations as they are enforced now or as they evolve. For example, our privacy and cybersecurity policies may be insufficient to protect any personal information we collect, or may not comply with applicable laws, in which case we may be subject to regulatory enforcement actions, lawsuits or reputational damage. If we or our vendors fail to comply with the GDPR and the applicable national data protection laws of the EU or EEA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Further, beginning on January 1, 2021, companies have to comply with both the GDPR and the UK GDPR, which together with the UK Data Protection Act 2018, retains the GDPR in United Kingdom national law. The UK GDPR mirrors the fines under the GDPR, i.e. fines up to the greater of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could lead to additional costs and increase our overall risk exposure. We may incur liabilities, expenses, costs and other operational losses under the GDPR and privacy laws of the applicable EU and EEA Member States and the United Kingdom in connection with any measures we take to comply with them.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Compliance with U.S. and international data protection laws and regulations could cause us to incur substantial costs or require us to change our business practices and compliance procedures in a manner adverse to our business. Penalties for violations of these laws vary and may be significant. Moreover, complying with these various laws could require us to take on more onerous obligations in our contracts, restrict our ability to collect, use and disclose data, or in some cases, impact our ability to operate in certain jurisdictions. In addition, we rely on third-party vendors to collect, process and store data on our behalf and we cannot guarantee that such vendors are in compliance with all applicable data protection laws and regulations. Our or our vendors’ failure to comply with U.S. and international data protection laws and regulations could result in government enforcement actions (which could include civil or criminal penalties), private litigation and adverse publicity. Claims that we have violated individuals’ privacy rights, failed to comply with data protection laws, or breached our contractual obligations, even if we are not found liable, could be expensive and time consuming to defend and could result in adverse publicity.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business and operations may suffer in the event of computer system failures, cyber-attacks or deficiencies in our cyber-security, which could materially affect our results.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receive, generate and store significant and increasing volumes of sensitive information, such as health information, insurance information and other potentially personally identifiable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we use to manage this sensitive data.</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Despite the implementation of security measures, our information technology systems, as well as those of third parties with which we have relationships, are vulnerable to attack and damage from computer viruses and malware (e.g., ransomware), unauthorized access, natural and manmade disasters, terrorism, war and telecommunication and electrical failures, malfeasance by external or internal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parties, and human error (e.g., social engineering, phishing).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technologies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we may also face increased cybersecurity risks due to our reliance on internet technology and the number of our and our service providers’ employees who are (and may continue to be) working remotely, which may create additional opportunities for cybercriminals to exploit vulnerabilities. The White House, SEC and other regulators have also increased their focus on companies’ cybersecurity vulnerabilities and risks.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or our critical third parties’ operations, it could result in delays and/or material disruptions of our research and development programs, our operations and ultimately, our financial results. For example, the loss of trial data from completed, ongoing or planned trials could result in delays in our regulatory approval efforts and significantly increase our costs to recover or reproduce the data. To the extent that any disruption or security breach were to result in a loss of or damage to data or applications, or inappropriate disclosure of personal, confidential or proprietary information, we could incur liability due to delays in the development of our product candidates and/or due to reputational harm, litigation, regulatory investigations and enforcement, fines and penalties, or increased costs of compliance and system remediation.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Risks related to reliance on third parties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June 2018, we entered into a collaborative research, development and commercialization agreement with Sanofi (the Sanofi Agreement), focused on researching, developing and commercializing SHP2 inhibitors as cancer therapies and potentially other indications. Sanofi primarily controls the research and development activities pursuant to the terms of the Sanofi Agreement, and our lack of control over these activities, including with respect to RMC-4630, could result in delays or other difficulties in the development and commercialization of product candidates, which may prevent completion of intended NDA filings in a timely fashion, if at all. Because of the allocation of responsibilities under the Sanofi Agreement, we are wholly dependent on Sanofi for the success of the RMC-4630 program. Any dispute with Sanofi may result in the delay or termination of the research, development or commercialization of RMC-4630 or other SHP2 inhibitor product candidates, and may result in costly litigation that diverts management attention and resources away from our day-to-day activities. For example, we plan to evaluate RMC-4630 in combination with other therapies (which may include product candidates from our pipeline), and Sanofi may disagree with us regarding which other therapies should be evaluated in combination with RMC-4630. As a result of this disagreement, our completion of a trial in combination with our preferred combination product candidate may be delayed or prevented.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addition, Sanofi can terminate the Sanofi Agreement (including for convenience), and in the event Sanofi terminates the Sanofi Agreement, we would be prevented from receiving any research and development funding, milestone payments, profit share payments, royalty payments and other benefits under that agreement. Termination of the Sanofi Agreement could require us to seek additional funding in order to avoid delaying, reducing the scope of, or suspending, one or more of our research and development programs or clinical trials. In addition, any decision by Sanofi to terminate the Sanofi Agreement may negatively impact public perception of RMC-4630, or all of the SHP2 program covered by the Sanofi Agreement. We cannot provide any assurance with respect to the success of the Sanofi collaboration. For more information regarding the Sanofi Agreement, see “Business—Collaboration agreement with Sanofi.”</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In addition to our collaboration with Sanofi, we may depend on collaborations with other third parties for the development and commercialization of our product candidates in the future. If our collaborations are not successful, we may not be able to capitalize on the market potential of these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Collaborations involving our current and future product candidates, including our collaborations with Sanofi and Amgen, may pose the following risks to us:</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have significant discretion in determining the efforts and resources that they will apply to these collaborations and may have incentives that are different than ours;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may delay clinical trials, provide insufficient funding for a clinical trial program, stop a clinical trial, abandon a product candidate, repeat or conduct new clinical trials or require a new formulation of a product candidate for clinical testing;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could independently develop, or develop with third parties, products that compete directly or indirectly with our products or product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collaborator with marketing, manufacturing and distribution rights to one or more products may not commit sufficient resources to or otherwise not perform satisfactorily in carrying out these activities;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collaborators may own or co-own intellectual property covering products that result from our collaboration with them, and in such cases, we may not have the exclusive right to develop, license or commercialize this intellectual property;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disputes may arise with respect to ownership of any intellectual property developed pursuant to our collaborations;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including if the partner in such a business combination has products that compete with ours.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seek to establish additional collaborations, and, if we are not able to establish them on commercially reasonable terms, we may have to alter our development and commercialization plans.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or disrupt our management and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to be at too early of a stage of development for collaborative effort and third parties may not view them as having the requisite potential to demonstrate safety and efficacy.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may also be restricted under existing collaboration agreements from entering into future agreements on certain terms with potential collaborators. For example, under the Sanofi Agreement, we have granted worldwide exclusive rights under our intellectual property to Sanofi for SHP2 inhibitors, and during the term of the agreement we will be restricted from granting similar rights to other parties. This exclusivity could limit our ability to enter into collaborations with future collaborators.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there have been a significant number of recent business combinations among large pharmaceutical companies that have resulted in a reduced number of potential future collaborators.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conflicts arise between us and our collaborators or strategic partners, these parties may act in a manner adverse to us and could limit our ability to implement our strategies.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conflicts arise between our corporate or academic collaborators or strategic partners and us, the other party may act in a manner adverse to us and could limit our ability to implement our strategies. Sanofi, Amgen or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rely on third parties to conduct our ongoing and planned clinical trials for the product candidates we develop. If these third parties do not successfully carry out their contractual duties, comply with regulatory requirements or meet expected deadlines, we may not be able to obtain marketing approval for or commercialize our product candidates we develop.</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do not have the ability to independently conduct clinical trials. We rely on medical institutions, clinical investigators, CROs, contract laboratories, and other third parties, including collaboration partners, to conduct or otherwise support ongoing or planned clinical trials for our product candidates. We rely heavily on these parties for execution of clinical trials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untitled and warning letters or enforcement action that may include civil penalties up to and including criminal prosecution.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and third parties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GCP requirements through periodic inspections of clinical trial sponsors, principal investigators and trial sites. If we or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Upon inspection, the FDA may determine that any of our current or future clinical trials do not comply with GCP. In addition, our clinical trials must be conducted with product candidates produced under cGMP regulations. Our failure or the failure of third parties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Although we intend to design the clinical trials for our product candidates, or be involved in the design when other parties sponsor the trials, third parties conduct all or a portion of the clinical trials involving our product candidates. For example, Amgen is conducting the Phase 1b trial evaluating the combination of RMC-4630 and the KRAS</w:t>
      </w:r>
      <w:r>
        <w:rPr>
          <w:rFonts w:ascii="Times New Roman" w:hAnsi="Times New Roman"/>
          <w:b w:val="false"/>
          <w:sz w:val="13"/>
        </w:rPr>
        <w:t>G12C</w:t>
      </w:r>
      <w:r>
        <w:rPr>
          <w:rFonts w:ascii="Times New Roman" w:hAnsi="Times New Roman"/>
          <w:b w:val="false"/>
          <w:sz w:val="20"/>
        </w:rPr>
        <w:t>(OFF) inhibitor sotorasib in Amgen’s CodeBreaK 101c study and Sanofi is conducting the Phase 1/2 trial evaluating the combination of RMC-4630 and Merck’s PD-1 inhibitor pembrolizumab and the Phase 1/2 study of RMC-4630 in combination with Mirati Therapeutics’ KRAS</w:t>
      </w:r>
      <w:r>
        <w:rPr>
          <w:rFonts w:ascii="Times New Roman" w:hAnsi="Times New Roman"/>
          <w:b w:val="false"/>
          <w:sz w:val="13"/>
        </w:rPr>
        <w:t>G12C</w:t>
      </w:r>
      <w:r>
        <w:rPr>
          <w:rFonts w:ascii="Times New Roman" w:hAnsi="Times New Roman"/>
          <w:b w:val="false"/>
          <w:sz w:val="20"/>
        </w:rPr>
        <w:t>(OFF) inhibitor, adagrasib. In addition, in March 2020, the Pancreatic Cancer Collective (a strategic partnership between Lustgarten Foundation and Stand Up To Cancer) announced that it had awarded funding to the Netherlands Cancer Institute for its study using RMC-4630 in combination with an investigational ERK inhibitor (LY3214996) in patients with pancreatic cancer. We plan to provide RMC-4630 to support this investigator sponsored study.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have staffing difficulties;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fail to comply with contractual obligations;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experience regulatory compliance issues;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have incentives that are different than ours;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undergo changes in priorities or become financially distressed;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form relationships with other entities, some of which may be our competitors.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clinical trial sites for our clinical studies may be affected by the COVID-19 outbreak due to prioritization of hospital resources toward the COVID-19 outbreak, travel or quarantine restrictions imposed by governments, and the inability to access sites for initiation and patient monitoring and enrollment. As a result, patient screening, new patient enrollment, monitoring and data collection may be affected or delayed. We are aware that several clinical sites involved in our clinical studies temporarily stopped or delayed enrolling new patients, with exemptions if appropriate, and it is possible that these or other clinical sites may be similarly affected in the future. These developments may delay our clinical trial timelines. Some of our third-party manufacturers which we use for the supply of materials for product candidates or other materials necessary to manufacture product to conduct clinical trials and contract research organizations that we may utilize may be impacted by COVID-19, and should they experience disruptions, such as temporary closures or suspension of services, we would likely experience delays in advancing these trials.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rely on third parties to manufacture preclinical and clinical drug supplies, and we intend to rely on third parties to produce commercial supplies of any approved product, which increases the risk that we will not have sufficient quantities of these product candidates or products or such quantities at an acceptable cost, which could delay, prevent or impair our development or commercialization efforts.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 including Sanofi.</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use of new third-party manufacturers increases the risk of delays in production or insufficient supplies of our product candidates (and the key starting and intermediate materials for such product candidates) as we transfer our manufacturing technology to these manufacturers and as they gain experience manufacturing our product candidates (and the key starting and intermediate materials for such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 will produce sufficient quantities of our product candidates (or the key starting and intermediate materials for such product candidates) in a timely manner or continuously over time, or at all.</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do not currently have any agreements with third-party manufacturers for long-term commercial supply.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reliance on the third party for regulatory compliance and quality assurance;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possible breach of the manufacturing agreement by the third party;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possible misappropriation of our proprietary information, including our trade secrets and know-how;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possible termination or non-renewal of the agreement by the third party at a time that is costly or inconvenient for us.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future product candidates and any products that we may develop may compete with other product candidates and products for access to manufacturing facilities. There are a limited number of manufacturers that operate under cGMP requirements particularly for the development of monoclonal antibodies, and that might be capable of manufacturing for us.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Some of our third-party manufacturers which we use for the supply of materials for product candidates or other materials necessary to manufacture product to conduct clinical trials are located in may be affected by COVID-19, and should they experience disruptions, such as temporary closures or suspension of services, we would likely experience delays in advancing these trials.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future relationships with customers and third-party payors in the United States and elsewhere may be subject, directly or indirectly, to applicable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Healthcare providers, physicians and third-party payors in the United States and elsewhere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(FCA), which may constrain the business or financial arrangements and relationships through which we sell, market and distribute any products for which we obtain marketing approval. The applicable federal, state and foreign healthcare laws and regulations that may affect our ability to operate include: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federal Health Insurance Portability and Accountability Act of 1996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federal consumer protection and unfair competition laws, which broadly regulate marketplace activities and activities that potentially harm consumers;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analogous or related foreign, state or local laws and regulations, including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state laws that require drug manufacturers to report information related to payments and other transfers of value to physicians and other healthcare providers or marketing expenditures.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Because of the breadth of the laws described above and the narrowness of the statutory exceptions and regulatory safe harbors available under them, it is possible that some of our business activities could be subject to challenge under one or more of these laws.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product candidate we develop outside the United States will also likely subject us to foreign equivalents of the healthcare laws mentioned above, among other foreign laws.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Risks related to intellectual property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our product candidates or the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the product candidates that we (and our collaborators) may pursue may be impaired. Our patent coverage with respect to our clinical and preclinical programs is limited, and we can provide no assurance that any of our current or future patent applications will result in issued patents or that any issued patents will provide us with any competitive advantage. Failure to obtain such issued patents could have a material adverse effect on our and Sanofi’s ability to develop and commercialize SHP2 inhibitor products, including RMC-4630, and on our ability to receive milestone, royalty or other payments from Sanofi pursuant to the Sanofi Agreement or our ability to develop or commercialize any of our other product candidates or technology.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seek to protect our proprietary positions by, among other things, filing patent applications in the United States and abroad related to our current product candidates and the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application 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 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Times New Roman" w:hAnsi="Times New Roman"/>
          <w:b w:val="false"/>
          <w:i/>
          <w:sz w:val="20"/>
        </w:rPr>
        <w:t>inter partes</w:t>
      </w:r>
      <w:r>
        <w:rPr>
          <w:rFonts w:ascii="Times New Roman" w:hAnsi="Times New Roman"/>
          <w:sz w:val="20"/>
        </w:rPr>
        <w:t xml:space="preserve"> </w:t>
      </w:r>
      <w:r>
        <w:rPr>
          <w:rFonts w:ascii="Times New Roman" w:hAnsi="Times New Roman"/>
          <w:b w:val="false"/>
          <w:sz w:val="20"/>
        </w:rPr>
        <w:t>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or limits of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have entered into licensing agreements with third parties. If we or a third party fail to comply with the obligations in the agreements under which we license intellectual property rights to or from third parties, or these agreements are terminated, or we otherwise experience disruptions to business relationships with our licensors or licensees, competitive position, business, financial condition, results of operations and prospects could be harmed.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 future. As a result, we may not be able to prevent competitors from developing and commercializing competitive products or technologies.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in June 2018, we entered into the Sanofi Agreement, wherein we exclusively licensed the worldwide rights in our SHP2 inhibitor program, including RMC-4630, to Sanofi. Although we have review and comment rights regarding patent prosecution decisions, Sanofi retains ultimate decision-making control, as well as the sole and exclusive right to enforce infringement of or defend claims against patents that relate to SHP2 inhibitor products licensed to it pursuant to the Sanofi Agreement.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product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the research resulting in certain of our owned and in-licensed patent rights and technology was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scope of rights granted under the license agreement and other interpretation-related issues;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whether and the extent to which technology and processes of one party infringe on intellectual property of the other party that are not subject to the licensing agreement;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rights to sublicense patent and other rights to third parties;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any diligence obligations with respect to the use of the licensed technology in relation to development and commercialization of our product candidates, and what activities satisfy those diligence obligations;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ownership of inventions and know-how resulting from the joint creation or use of intellectual property;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rights to transfer or assign the license;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the effects of termination.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addition, if our licensors or licensees fail to abide by the terms of the license, if the licensors or licensees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“Business—Collaboration agreement with Sanofi.”</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we are unable to obtain licenses from third parties on commercially reasonable terms or at all, our business could be harmed.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competitor may be unwilling to assign or license rights to us. We also may be unable to license or acquire third party intellectual property rights on terms that would allow us to make an appropriate return on our investment or at all. If we are unable to license needed technology, or if we are forced to license this technology on unfavorable terms, our business could be materially harmed. If we are unable to obtain a necessary license, we may be unable to develop or commercialize the affected product candidates,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not identify relevant third-party patents or may incorrectly interpret the relevance, scope or expiration of a third-party patent, which might subject us to infringement claims or adversely affect our ability to develop and market our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the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If we fail to identify and correctly interpret relevant patents, we may be subject to infringement claims. We cannot guarantee that we will be able to successfully settle or otherwise resolve any infringement claims. If we fail in any of these disputes,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Patent terms may be inadequate to protect our competitive position on our product candidates for an adequate amount of time.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from applicable products could be reduced. Further, if this occurs, our competitors may take advantage of our investment in development and trials by referencing our clinical and preclinical data and launch their product earlier than might otherwise be the case.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Also, there are detailed rules and requirements regarding the patents that may be submitted to the FDA for listing in the Approved Drug Products with Therapeutic Equivalence Evaluations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not be able to protect our intellectual property rights throughout the world.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and enforcement practices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Many foreign countries, including some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Changes in patent law could diminish the value of patents in general, thereby impairing our ability to protect our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Times New Roman" w:hAnsi="Times New Roman"/>
          <w:b w:val="false"/>
          <w:i/>
          <w:sz w:val="20"/>
        </w:rPr>
        <w:t>inter partes</w:t>
      </w:r>
      <w:r>
        <w:rPr>
          <w:rFonts w:ascii="Times New Roman" w:hAnsi="Times New Roman"/>
          <w:sz w:val="20"/>
        </w:rPr>
        <w:t xml:space="preserve"> </w:t>
      </w:r>
      <w:r>
        <w:rPr>
          <w:rFonts w:ascii="Times New Roman" w:hAnsi="Times New Roman"/>
          <w:b w:val="false"/>
          <w:sz w:val="20"/>
        </w:rPr>
        <w:t>review and derivation proceedings. The USPTO has developed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w:t>
      </w:r>
      <w:r>
        <w:rPr>
          <w:rFonts w:ascii="Times New Roman" w:hAnsi="Times New Roman"/>
          <w:b w:val="false"/>
          <w:i/>
          <w:sz w:val="20"/>
        </w:rPr>
        <w:t xml:space="preserve">inter partes </w:t>
      </w:r>
      <w:r>
        <w:rPr>
          <w:rFonts w:ascii="Times New Roman" w:hAnsi="Times New Roman"/>
          <w:b w:val="false"/>
          <w:sz w:val="20"/>
        </w:rPr>
        <w:t>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prosecution. If a defendant were to prevail on a legal assertion of invalidity or unenforceability, we would lose at least part, and perhaps all, of the patent protection on the applicable product candidates or technology covered by the patent rendered invalid or unenforceable.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Furthermore, because of the substantial amount of discovery required in connection with intellectual property litigation, there is a risk that some of our confidential information could be compromised by disclosure during this type of litigation.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We may become party to, or threatened with, future adversarial proceedings or litigation regarding intellectual property rights with respect to our product candidates and their manufacture and our other technology, including re-examination, interference, post-grant review, </w:t>
      </w:r>
      <w:r>
        <w:rPr>
          <w:rFonts w:ascii="Times New Roman" w:hAnsi="Times New Roman"/>
          <w:b w:val="false"/>
          <w:i/>
          <w:sz w:val="20"/>
        </w:rPr>
        <w:t>inter partes</w:t>
      </w:r>
      <w:r>
        <w:rPr>
          <w:rFonts w:ascii="Times New Roman" w:hAnsi="Times New Roman"/>
          <w:sz w:val="20"/>
        </w:rPr>
        <w:t xml:space="preserve"> </w:t>
      </w:r>
      <w:r>
        <w:rPr>
          <w:rFonts w:ascii="Times New Roman" w:hAnsi="Times New Roman"/>
          <w:b w:val="false"/>
          <w:sz w:val="20"/>
        </w:rPr>
        <w:t>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 U.S. patent in federal court, we would need to overcome a presumption of validity. As this burden is a high one requiring us to present clear and convincing evidence as to the invalidity of a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these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be subject to claims by third parties asserting that we or our employees have infringed upon, misappropriated or otherwise violated their intellectual property rights, or claiming ownership of what we regard as our own intellectual property.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Many of our employees were previously employed at other biotechnology or pharmaceutical companies and our consultants and advisors may work for other biotechnology or pharmaceutical companies in addition to us.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of these individuals’ former or concurrent employers or clients.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we fail in prosecuting or defending any such claims, in addition to paying monetary damages, we may lose valuable intellectual property rights or personnel. Even if we are successful in prosecuting or defending against these claims, litigation could result in substantial costs, delay development of our product candidates and be a distraction to management.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may be subject to claims challenging the inventorship of our patents and other intellectual property.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While it is our policy to require our employees and contractors who may be involved in the development of intellectual property to execute agreements assigning this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rely on trade secrets and confidentiality agreements to protect our unpatented know-how, technology and other proprietary information (including unpatented know-how associated with Warp Drive)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these agreements with each party that may have or has had access to our trade secrets or proprietary technology and processes. Despite our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registered or unregistered trademarks or trade names may be challenged, infringed, circumvented or declared generic or determined to be infringing on other marks. We may not be able to protect our rights to these trademarks and trade names, which we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Intellectual property rights do not necessarily address all potential threats.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others may be able to make products that are similar to any product candidates we may develop or utilize similar technology but that are not covered by the claims of our patents or the patents that we license or may own in the future;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or our current or future licensors, might not have been the first to make the inventions covered by an issued patent or pending patent application that we license or may own in the future;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or our current or future licensors might not have been the first to file patent applications covering certain of our or their inventions;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others may independently develop similar or alternative technologies or duplicate any of our technologies without infringing our owned or licensed intellectual property rights;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it is possible that our pending owned or licensed patent applications or those that we may own or license in the future will not lead to issued patents;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issued patents that we hold rights to may be held invalid or unenforceable, including as a result of legal challenges by our competitors;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not develop additional proprietary technologies that are patentable;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patents of others may harm our business;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may choose not to file a patent in order to maintain certain trade secrets or know-how, and a third party may subsequently file a patent covering such intellectual property.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Risks related to employee matters and managing our growth</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Recruiting and retaining qualified employees, consultants and advisors for our business, including scientific and technical personnel, is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will need to grow the size of our organization, and we may experience difficulties in managing this growth.</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we had 188 full-time employees, including 154 employees engaged in research and development. As our development and commercialization plans and strategies develop, and as we operate as a public company, we expect to need additional managerial, research and development, operational, sales, marketing, financial and other personnel. Future growth would impose significant added responsibilities on members of management,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identifying, recruiting, integrating, maintaining and motivating additional employees;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managing our internal development efforts effectively, including the clinical and FDA review process for any product candidate we develop, while complying with our contractual obligations to contractors and other third parties;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improving our operational, financial and management controls, reporting systems and procedures.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future financial performance and our ability to advance development of and, if approved, commercialize any product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currently rely, and for the foreseeable future will continue to rely, in substantial part on certain independent organizations, advisors and consultants to provide certain services, including substantially all aspects of marketing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we are not able to effectively expand our organization by hiring new employees and expanding our groups of consultants and contractors, we may not be able to successfully implement the tasks necessary to further develop and commercialize any product candidates we develop and, accordingly, may not achieve our research, development and commercialization goals.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We have in the past engaged and may in the future engage in strategic transactions; these transactions could affect our liquidity, dilute our existing stockholders, increase our expenses and present significant challenges in focus and energy to our management or prove not to be successful.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From time to time, we may consider strategic transactions, such as acquisitions of companies, asset purchases and out-licensing or in-licensing of intellectual property, products or technologies. For example, in October 2018, we acquired all of the outstanding shares of Warp Drive Bio, which became our direct wholly-owned subsidiary.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Additional potential transactions that we may consider in the future include a variety of business arrangements, including spin-offs, strategic partnerships, joint ventures, restructurings, divestitures, business combinations and investments. Any future transactions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If we fail to comply with environmental, health and safety laws and regulations, we could become subject to fines or penalties or incur costs that could have a material adverse effect on the success of our business.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or the third parties upon whom we depend may be adversely affected by earthquakes, outbreak of disease, or other natural disasters and our business continuity and disaster recovery plans may not adequately protect us from a serious disaster.</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corporate headquarters and other facilities are located in the San Francisco Bay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a natural disaster, power outage, outbreak of disease,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As an example, our operations are currently limited as a result of the COVID-19 pandemic, as described in the risk factor entitled “</w:t>
      </w:r>
      <w:r>
        <w:rPr>
          <w:rFonts w:ascii="Times New Roman" w:hAnsi="Times New Roman"/>
          <w:b w:val="false"/>
          <w:i/>
          <w:sz w:val="20"/>
        </w:rPr>
        <w:t>The COVID-19 pandemic, or other epidemic and pandemic diseases or governmental or other actions taken in response to them, could significantly disrupt our business.”</w:t>
      </w:r>
      <w:r>
        <w:rPr>
          <w:rFonts w:ascii="Times New Roman" w:hAnsi="Times New Roman"/>
          <w:sz w:val="20"/>
        </w:rPr>
        <w:t xml:space="preserve"> </w:t>
      </w:r>
      <w:r>
        <w:rPr>
          <w:rFonts w:ascii="Times New Roman" w:hAnsi="Times New Roman"/>
          <w:b w:val="false"/>
          <w:sz w:val="20"/>
        </w:rPr>
        <w:t>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Furthermore, integral parties used in our preclinical activities and in our supply chain are similarly vulnerable to natural disasters, outbreak of disease, or other sudden, unforeseen and severe adverse events. If such an event were to affect our preclinical activities or our supply chain, it could have a material adverse effect on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internal computer systems, or those used by our CROs or other contractors or consultants, may fail or suffer security breaches.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Despite the implementation of security measures, our internal computer systems and those of our future CROs and other contractors and consultants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employees, independent contractors, vendors, principal investigators, CROs and consultants may engage in misconduct or other improper activities, including non-compliance with regulatory standards and requirements and insider trading.</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are exposed to the risk that our employees, independent contractors, vendors, principal investigators, CROs and consultants may engage in fraudulent conduct or other illegal activity. Misconduct by these parties could include intentional, reckless or negligent conduct or disclosure of unauthorized activities to us that violate the regulations of the FDA or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and curtailment of our operations.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Risks related to our common stock</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The price of our common stock is volatile and fluctuates substantially, which could result in substantial losses for investors.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stock price is highly volatile. The stock market in general, and the market for biopharmaceutical companies in particular, have experienced extreme volatility that has often been unrelated to the operating performance of particular companies. The COVID-19 pandemic, actions taken by governments in response to this pandemic and the related economic impacts, have exacerbated this volatility, particularly as it relates to stocks of biopharmaceutical companies like ours.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market price for our common stock may be influenced by many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research and development efforts and our ability to discover and develop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results of our clinical trials and preclinical studies or those of our competitors;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success of competitive products or technologies;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regulatory or legal developments in the United States and other countries;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developments or disputes concerning patent applications, issued patents or other proprietary rights;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recruitment or departure of key personnel;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level of expenses related to our product candidates or clinical development programs;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results of our efforts to discover, develop, acquire or in-license product candidates or companion diagnostics;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actual or anticipated changes in estimates as to financial results, development timelines or recommendations by securities analysts;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variations in our financial results or those of companies that are perceived to be similar to us;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changes in the structure of healthcare payment systems;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market conditions in the pharmaceutical and biotechnology sectors;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general economic, industry and market conditions.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An active and liquid market for our common stock may not be sustained.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common stock is currently listed on the Nasdaq Global Select Market under the symbol “RVMD”. The price for our common stock may vary and an active and liquid market in our common stock may not be sustained. The lack of an active market may impair the value of your shares, your ability to sell your shares at the time you wish to sell them and the prices that you may obtain for your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shares. An inactive market may also impair our ability to raise capital by selling our common stock and our ability to acquire other companies, products or technologies by using our common stock as consideration.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do not intend to pay dividends on our common stock so any returns will be limited to the value of our stock.</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do not currently intend to pay any cash dividends on our common stock for the foreseeable future. We currently intend to invest our future earnings, if any, to fund our growth. Therefore, stockholders are not likely to receive any dividends on their common stock for the foreseeable future. Since we do not intend to pay dividends, stockholders’ ability to receive a return on their investment will depend on any future appreciation in the market value of our common stock. There is no guarantee that our common stock will appreciate or even maintain the price at which our holders have purchased it.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executive officers, directors and their affiliates have significant influence over our company, which will limit your ability to influence corporate matters and could delay or prevent a change in corporate control.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our executive officers, directors and their affiliates beneficially owned, in the aggregate, approximately 17%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delaying, deferring or preventing a change of control of us;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impeding a merger, consolidation, takeover or other business combination involving us; or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discouraging a potential acquirer from making a tender offer or otherwise attempting to obtain control of us.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See “Item 12. Security Ownership of Certain Beneficial Owners and Management and Related Stockholder Matters” in this Annual Report on Form 10-K for more information regarding the ownership of our outstanding common stock by our executive officers, directors and their affiliates.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Sales of a substantial number of shares of our common stock in the public market could cause our stock price to fall.</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If our existing stockholders sell, or indicate an intention to sell, substantial amounts of our common stock in the public market, the market price of our common stock could decline.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of December 31, 2021, 14.0 million shares of common stock that are either subject to outstanding options or reserved for future issuance under our equity incentive plans are eligible for sale in the public market to the extent permitted by the provisions of various vesting schedules, lock-up agreements and Rule 144 and Rule 701 under the Securities Act. If these additional shares of common stock are sold, or if it is perceived that they will be sold, in the public market, the market price of our common stock could decline.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as of December 31, 2021, holders of approximately 9 million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ability to utilize our net operating loss carryforwards and certain other tax attributes has been limited by “ownership changes” and may be further limited.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to offset its post-change income may be limited. We have experienced ownership changes in the past, and we may experience ownership changes in the future as a result of our public offerings or other changes in our stock ownership (some of which are not in our control). Use of our federal and state net operating loss carryforwards have been limited as a result of ownership changes and could be further limited if we experience additional ownership changes.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Provisions in our charter documents and under Delaware law could discourage a takeover that stockholders may consider favorable and may lead to entrenchment of management.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classified board of directors with three-year staggered terms, which may delay the ability of stockholders to change the membership of our board of directors;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no cumulative voting in the election of directors, which limits the ability of minority stockholders to elect director candidates;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exclusive right of our board of directors to appoint a director to fill a vacancy created by the expansion of the board of directors or the resignation, death or removal of a director, which prevents stockholders from being able to fill vacancies on our board of directors;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ability of our board of directors to alter our amended and restated bylaws without obtaining stockholder approval;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a prohibition on stockholder action by written consent, which forces stockholder action to be taken at an annual or special meeting of our stockholders;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requirement that a special meeting of stockholders may be called only by our chief executive officer or president or by the board of directors, which may delay the ability of our stockholders to force consideration of a proposal or to take action, including the removal of directors;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Claims for indemnification by our directors and officers may reduce our available funds to satisfy successful third-party claims against us and may reduce the amount of money available to us.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amended and restated certificate of incorporation and amended and restated bylaws provide that we will indemnify our directors and officers, in each case to the fullest extent permitted by Delaware law.</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addition, as permitted by Section 145 of the Delaware General Corporation Law, our amended and restated bylaws and our indemnification agreements that we have entered into with our directors and officers provide that:</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may, in our discretion, indemnify employees and agents in those circumstances where indemnification is permitted by applicable law;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69</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rights conferred in our amended and restated bylaws are not exclusive, and we are authorized to enter into indemnification agreements with our directors, officers, employees and agents and to obtain insurance to indemnify such persons;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we may not retroactively amend our amended and restated bylaw provisions to reduce our indemnification obligations to directors, officers, employees and agents.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amended and restated certificate of incorporation and amended and restated bylaws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will be the exclusive forum for the resolution of any complaint asserting a cause or causes of action under the Securities Act. Such provision is intended to benefit and may be enforced by us, our officers and directors, the underwriters to any offering giving rise to such compliant and any other professional or entity whose profession gives authority to a statement made by that person or entity and who has prepared or certified any part of the documents underlying the offering. Nothing in our amended and restated certificate of incorporation or amended and restated bylaws precludes stockholders that assert claims under the Exchange Act from bringing such claims in state or federal court, subject to applicable law.</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in our amended and restated certificate of incorporation or amended and restated bylaws to be inapplicable or unenforceable in an action, we may incur additional costs associated with resolving such action in other jurisdictions, which could adversely affect our business, financial condition, results of operations and prospects.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General risk factors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Raising additional capital may cause dilution to our stockholders, restrict our operations or require us to relinquish rights to our technologies.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To date, we have primarily financed our operations through the sale of preferred stock and common stock and upfront payments and research and development cost reimbursement received in connection with our collaboration with Sanofi. We will be required to seek additional funding in the future and may do so through a combination of public or private equity offerings, debt financings, credit or loan facilities, collaborations, strategic alliances, licensing arrangements and other marketing or distribution arrangements.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In addition, as a condition to providing additional funds to us, future investors may demand, and may be granted, rights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would receive any distribution of our corporate assets. Attempting to secure additional financing may also divert our management from our day-to-day activities, which may adversely affect our ability to develop our product candidates.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are subject to certain U.S. and foreign anti-corruption, anti-money laundering, export control, sanctions, and other trade laws and regulations. We can face serious consequences for violations.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Intellectual property litigation could cause us to spend substantial resources and distract our personnel from their normal responsibilities.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We incur significantly increased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Select Market and the rules of the Securities and Exchange Commission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increase our legal and financial compliance costs and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As a public company, we are subject to Section 404 of the Sarbanes-Oxley Act of 2002 (Section 404) and the related rules of the SEC, which generally require our management and independent registered public accounting firm to report on the effectiveness of our internal control over financial reporting.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In order to provide the reports required by these rules we must conduct reviews and testing of our internal controls.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In order to report our results of operations and financial statements on an accurate and timely basis, we will depend on third party vendors to provide timely and accurate notice of their costs to us. Any failure to report our financial results on an accurate and timely basis could result in sanctions, lawsuits, delisting of our shares from the Nasdaq Global Select Market or other adverse consequences that would materially harm to our business.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Emerging growth companies are permitted to implement many of these requirements over time, however we are no longer an emerging growth company as of December 31, 2021 and expect to incur additional compliance-related expenses as a result.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we sell shares of our common stock in future financings, stockholders may experience immediate dilution and, as a result, our stock price may decline.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on November 10, 2021, we entered into a sales agreement with Cowen and Company, LLC (Cowen) to sell shares of common stock, from time to time, with aggregate gross sales proceeds of up to $250.0 million, through an at-the-market equity offering program under which Cowen will act as our sales agent. If we issue common stock or securities convertible into common stock, our common stockholders would experience additional dilution and, as a result, our stock price may decline.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securities analysts do not continue to publish research or reports about our business or if they publish negative evaluations of our stock, the price of our stock could decline.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 trading market for our common stock relies, in part, on the research and reports that industry or financial analysts publish about us or our business. If few analysts publish research or reports about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Pursuant to Section 404 of Sarbanes-Oxley, our management is required to report upon the effectiveness of our internal control over financial reporting. We are no longer and emerging growth company as of December 31, 2021,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There may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spacing w:lineRule="auto" w:line="273" w:before="200" w:after="0"/>
        <w:jc w:val="left"/>
        <w:rPr>
          <w:rFonts w:ascii="Times New Roman" w:hAnsi="Times New Roman"/>
          <w:sz w:val="20"/>
        </w:rPr>
      </w:pPr>
      <w:bookmarkStart w:id="6" w:name="item_1b_unresolved_staff_comments"/>
      <w:bookmarkEnd w:id="6"/>
      <w:r>
        <w:rPr>
          <w:rFonts w:ascii="Times New Roman" w:hAnsi="Times New Roman"/>
          <w:b/>
          <w:sz w:val="20"/>
        </w:rPr>
        <w:t>Item 1B. Unresolved Staff Comments.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72</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bookmarkStart w:id="7" w:name="item_2_properties"/>
      <w:bookmarkEnd w:id="7"/>
      <w:r>
        <w:rPr>
          <w:rFonts w:ascii="Times New Roman" w:hAnsi="Times New Roman"/>
          <w:b/>
          <w:sz w:val="20"/>
        </w:rPr>
        <w:t>Item 2. Properties.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Our corporate headquarters is located in Redwood City, California, where we lease and occupy approximately 102,000 square feet of office and laboratory space. The term of our Redwood City lease expires in November 2033, with an option to extend the term through November 2043.</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also lease approximately 22,000 square feet of office and laboratory space in Cambridge, Massachusetts. The current term of our Cambridge lease expires in February 2023, with an option to extend the term through February 2028, subject to certain conditions. We have subleased this office and laboratory space to Casma Therapeutics, Inc. The current term of this sublease expires in February 2023.</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bookmarkStart w:id="8" w:name="item_3_legal_proceedings"/>
      <w:bookmarkEnd w:id="8"/>
      <w:r>
        <w:rPr>
          <w:rFonts w:ascii="Times New Roman" w:hAnsi="Times New Roman"/>
          <w:b/>
          <w:sz w:val="20"/>
        </w:rPr>
        <w:t>Item 3. Legal Proceedings.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Times New Roman" w:hAnsi="Times New Roman"/>
          <w:sz w:val="20"/>
        </w:rPr>
        <w:t xml:space="preserve"> </w:t>
      </w:r>
    </w:p>
    <w:p>
      <w:pPr>
        <w:pStyle w:val="TextBody"/>
        <w:spacing w:lineRule="auto" w:line="273" w:before="200" w:after="0"/>
        <w:jc w:val="left"/>
        <w:rPr>
          <w:rFonts w:ascii="Times New Roman" w:hAnsi="Times New Roman"/>
          <w:b/>
          <w:sz w:val="20"/>
        </w:rPr>
      </w:pPr>
      <w:bookmarkStart w:id="9" w:name="item_4_mine_safety_disclosures"/>
      <w:bookmarkEnd w:id="9"/>
      <w:r>
        <w:rPr>
          <w:rFonts w:ascii="Times New Roman" w:hAnsi="Times New Roman"/>
          <w:b/>
          <w:sz w:val="20"/>
        </w:rPr>
        <w:t>Item 4. Mine Safety Disclosures.</w:t>
      </w:r>
    </w:p>
    <w:p>
      <w:pPr>
        <w:pStyle w:val="TextBody"/>
        <w:spacing w:lineRule="auto" w:line="273" w:before="200" w:after="0"/>
        <w:jc w:val="left"/>
        <w:rPr>
          <w:rFonts w:ascii="Times New Roman" w:hAnsi="Times New Roman"/>
          <w:sz w:val="20"/>
        </w:rPr>
      </w:pPr>
      <w:r>
        <w:rPr>
          <w:rFonts w:ascii="Times New Roman" w:hAnsi="Times New Roman"/>
          <w:b w:val="false"/>
          <w:sz w:val="20"/>
        </w:rPr>
        <w:t>Not applicable.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10" w:name="part_ii"/>
      <w:bookmarkEnd w:id="10"/>
      <w:r>
        <w:rPr>
          <w:rFonts w:ascii="Times New Roman" w:hAnsi="Times New Roman"/>
          <w:b/>
          <w:sz w:val="20"/>
        </w:rPr>
        <w:t>PART II</w:t>
      </w:r>
    </w:p>
    <w:p>
      <w:pPr>
        <w:pStyle w:val="TextBody"/>
        <w:spacing w:lineRule="auto" w:line="273" w:before="240" w:after="0"/>
        <w:jc w:val="both"/>
        <w:rPr>
          <w:rFonts w:ascii="Times New Roman" w:hAnsi="Times New Roman"/>
          <w:sz w:val="20"/>
        </w:rPr>
      </w:pPr>
      <w:bookmarkStart w:id="11" w:name="item_5_market_for_registrants_common_equ"/>
      <w:bookmarkEnd w:id="11"/>
      <w:r>
        <w:rPr>
          <w:rFonts w:ascii="Times New Roman" w:hAnsi="Times New Roman"/>
          <w:b/>
          <w:sz w:val="20"/>
        </w:rPr>
        <w:t>Item 5. Market for Registrant’s Common Equity, Related Stockholder Matters and Issuer Purchases of Equity Securities.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Market price of common stock</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Our common stock has been listed on the Nasdaq Global Select Market under the symbol “RVMD” since February 13, 2020. Prior to that date, there was no public trading market for our common stock.</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On February 23, 2022, there were 50 holders of record of our common stock. We believe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 may be held in trust by other entities.</w:t>
      </w:r>
    </w:p>
    <w:p>
      <w:pPr>
        <w:pStyle w:val="TextBody"/>
        <w:spacing w:lineRule="auto" w:line="273" w:before="200" w:after="0"/>
        <w:jc w:val="left"/>
        <w:rPr>
          <w:rFonts w:ascii="Times New Roman" w:hAnsi="Times New Roman"/>
          <w:b/>
          <w:sz w:val="20"/>
        </w:rPr>
      </w:pPr>
      <w:r>
        <w:rPr>
          <w:rFonts w:ascii="Times New Roman" w:hAnsi="Times New Roman"/>
          <w:b/>
          <w:sz w:val="20"/>
        </w:rPr>
        <w:t>Dividend policy</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pStyle w:val="TextBody"/>
        <w:spacing w:lineRule="auto" w:line="273" w:before="200" w:after="0"/>
        <w:jc w:val="left"/>
        <w:rPr>
          <w:rFonts w:ascii="Times New Roman" w:hAnsi="Times New Roman"/>
          <w:b/>
          <w:sz w:val="20"/>
        </w:rPr>
      </w:pPr>
      <w:r>
        <w:rPr>
          <w:rFonts w:ascii="Times New Roman" w:hAnsi="Times New Roman"/>
          <w:b/>
          <w:sz w:val="20"/>
        </w:rPr>
        <w:t>Stock performance graph</w:t>
      </w:r>
    </w:p>
    <w:p>
      <w:pPr>
        <w:pStyle w:val="TextBody"/>
        <w:spacing w:lineRule="auto" w:line="273" w:before="200" w:after="0"/>
        <w:jc w:val="left"/>
        <w:rPr>
          <w:rFonts w:ascii="Times New Roman" w:hAnsi="Times New Roman"/>
          <w:b w:val="false"/>
          <w:i/>
          <w:sz w:val="20"/>
        </w:rPr>
      </w:pPr>
      <w:r>
        <w:rPr>
          <w:rFonts w:ascii="Times New Roman" w:hAnsi="Times New Roman"/>
          <w:b w:val="false"/>
          <w:i/>
          <w:sz w:val="20"/>
        </w:rPr>
        <w:t>This graph is not “soliciting material” or deemed “filed” with the SEC for purposes of Section 18 of the Exchange Act, or otherwise subject to liabilities under that Section, and shall not be deemed incorporated by reference into any filing of Revolution Medicines, Inc. under the Securities Act of 1933, as amended, or the Securities Act, whether made before or after the date hereof and irrespective of any general incorporation language in any such filing.</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The following graph compares the cumulative total return to stockholder return on our common stock relative to the cumulative total returns of the NASDAQ Composite Index and the NASDAQ Biotechnology Index. An investment of $100 is assumed to have been made in our common stock and each index on February 13, 2020 (the first day of trading of our common stock) and its relative performance is tracked through December 31, 2021. Pursuant to applicable Securities and Exchange Commission rules, all values assume reinvestment of the full amount of all dividends, however no dividends have been declared on our common stock to date. The stockholder returns shown on the graph below are based on historical results and are not necessarily indicative of future performance, and we do not make or endorse any predictions as to future stockholder returns.</w:t>
      </w:r>
    </w:p>
    <w:p>
      <w:pPr>
        <w:pStyle w:val="TextBody"/>
        <w:spacing w:lineRule="auto" w:line="273" w:before="0" w:after="0"/>
        <w:jc w:val="center"/>
        <w:rPr/>
      </w:pPr>
      <w:r>
        <w:rPr/>
        <w:t> </w:t>
      </w:r>
    </w:p>
    <w:p>
      <w:pPr>
        <w:pStyle w:val="TextBody"/>
        <w:spacing w:lineRule="auto" w:line="273" w:before="0" w:after="0"/>
        <w:jc w:val="center"/>
        <w:rPr/>
      </w:pPr>
      <w:r>
        <w:rPr/>
        <w:drawing>
          <wp:inline distT="0" distB="0" distL="0" distR="0">
            <wp:extent cx="6096000" cy="2762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096000" cy="2762250"/>
                    </a:xfrm>
                    <a:prstGeom prst="rect">
                      <a:avLst/>
                    </a:prstGeom>
                  </pic:spPr>
                </pic:pic>
              </a:graphicData>
            </a:graphic>
          </wp:inline>
        </w:drawing>
      </w:r>
      <w:r>
        <w:rPr/>
        <w:t> </w:t>
      </w:r>
    </w:p>
    <w:p>
      <w:pPr>
        <w:pStyle w:val="TextBody"/>
        <w:spacing w:lineRule="auto" w:line="273" w:before="0" w:after="0"/>
        <w:jc w:val="center"/>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74</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b/>
          <w:sz w:val="20"/>
        </w:rPr>
      </w:pPr>
      <w:r>
        <w:rPr>
          <w:rFonts w:ascii="Times New Roman" w:hAnsi="Times New Roman"/>
          <w:b/>
          <w:sz w:val="20"/>
        </w:rPr>
        <w:t>Recent sales of unregistered securities</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00" w:after="0"/>
        <w:jc w:val="left"/>
        <w:rPr>
          <w:rFonts w:ascii="Times New Roman" w:hAnsi="Times New Roman"/>
          <w:b/>
          <w:sz w:val="20"/>
        </w:rPr>
      </w:pPr>
      <w:r>
        <w:rPr>
          <w:rFonts w:ascii="Times New Roman" w:hAnsi="Times New Roman"/>
          <w:b/>
          <w:sz w:val="20"/>
        </w:rPr>
        <w:t>Use of proceeds from our public offering of common stock</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In February 2020, our registration statement on Form S-1 (File No. 333-235968) relating to our IPO of common stock became effective. The IPO closed on February 18, 2020 at which time we issued 16,100,000 shares of common stock (including the exercise in full by the underwriters of their option to purchase an additional 2,100,000 shares of common stock) at a public offering price of $17.00 per share. We received net proceeds from the IPO of approximately $250.7 million, after deducting the underwriting discounts and commissions of $19.2 million and estimated offering related expenses of $3.8 million. None of the expenses associated with the IPO were paid to directors, officers, persons owning 10% or more of any class of equity securities, or to our affiliates. J.P. Morgan Securities LLC, Cowen and Company, LLC, SVB Leerink LLC and Guggenheim Securities, LLC acted as joint book-running managers for the offering.</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There has been no material change in the planned use of proceeds from our IPO as described in our final prospectus filed with the SEC on February 13, 2020, pursuant to Rule 424(b)(4). We invested the funds received in interest-bearing, investment-grade securities consisting of government securities, corporate bonds, and commercial paper.</w:t>
      </w:r>
    </w:p>
    <w:p>
      <w:pPr>
        <w:pStyle w:val="TextBody"/>
        <w:spacing w:lineRule="auto" w:line="273" w:before="200" w:after="0"/>
        <w:jc w:val="left"/>
        <w:rPr>
          <w:rFonts w:ascii="Times New Roman" w:hAnsi="Times New Roman"/>
          <w:b/>
          <w:sz w:val="20"/>
        </w:rPr>
      </w:pPr>
      <w:r>
        <w:rPr>
          <w:rFonts w:ascii="Times New Roman" w:hAnsi="Times New Roman"/>
          <w:b/>
          <w:sz w:val="20"/>
        </w:rPr>
        <w:t>Issuer Purchases of Equity Securities</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00" w:after="0"/>
        <w:jc w:val="left"/>
        <w:rPr>
          <w:rFonts w:ascii="Times New Roman" w:hAnsi="Times New Roman"/>
          <w:sz w:val="20"/>
        </w:rPr>
      </w:pPr>
      <w:bookmarkStart w:id="12" w:name="item_6_selected_financial_data"/>
      <w:bookmarkEnd w:id="12"/>
      <w:r>
        <w:rPr>
          <w:rFonts w:ascii="Times New Roman" w:hAnsi="Times New Roman"/>
          <w:b/>
          <w:sz w:val="20"/>
        </w:rPr>
        <w:t>Item 6. Reserved.</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13" w:name="item_7_managements_discussion_analysis_f"/>
      <w:bookmarkEnd w:id="13"/>
      <w:r>
        <w:rPr>
          <w:rFonts w:ascii="Times New Roman" w:hAnsi="Times New Roman"/>
          <w:b/>
          <w:sz w:val="20"/>
        </w:rPr>
        <w:t>Item 7. Management’s Discussion and Analysis of Financial Condition and Results of Operations.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You should read the following discussion and analysis of our financial condition and results of operations in conjunction with the consolidated financial statements and the related notes included elsewhere in this Annual Report on Form 10-K. In addition to historical financial information, this discussion contains forward-looking statements based upon current expectations that involve risks and uncertainties. As a result of many factors, including those factors set forth in the “Risk Factors” section of this report, our actual results could differ materially from the results described or implied by the forward-looking statements contained in the following discussion and analysis.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are a clinical-stage precision oncology company focused on developing targeted therapies to inhibit frontier targets in RAS-addicted cancers. We possess sophisticated structure-based drug discovery capabilities built upon deep chemical biology and cancer pharmacology know-how and innovative, proprietary technologies that enable the creation of small molecules tailored to unconventional binding sites. Our understanding of genetic drivers and adaptive resistance mechanisms in cancer, coupled with robust drug discovery and medicinal chemistry capabilities, has guided us to establish a deep pipeline targeting critical signaling nodes within the RAS pathway and associated pathways. This cohesive approach underpins our clinical strategy of exploring mechanism-based dosing paradigms and in-pathway combinations to optimize treatment for cancer patients.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Our research and development pipeline comprises RAS(ON) inhibitors that bind directly to RAS variants, which we refer to as RAS(ON) Inhibitors, and RAS companion inhibitors that target key nodes in the RAS pathway or associated pathways, which we refer to as RAS Companion Inhibitors. Our RAS Companion Inhibitors (e.g., SHP2, mTORC1 and SOS1 inhibitors) are designed primarily for combination treatment strategies involving one or more therapeutic agents, which may include our RAS(ON) Inhibitors. Our long-term goal is to combine selected RAS Companion Inhibitors with RAS(ON) Inhibitors on behalf of patients based on molecular tumor features.</w:t>
      </w:r>
    </w:p>
    <w:p>
      <w:pPr>
        <w:pStyle w:val="TextBody"/>
        <w:spacing w:lineRule="auto" w:line="273" w:before="200" w:after="0"/>
        <w:jc w:val="left"/>
        <w:rPr>
          <w:rFonts w:ascii="Times New Roman" w:hAnsi="Times New Roman"/>
          <w:b/>
          <w:sz w:val="20"/>
        </w:rPr>
      </w:pPr>
      <w:r>
        <w:rPr>
          <w:rFonts w:ascii="Times New Roman" w:hAnsi="Times New Roman"/>
          <w:b/>
          <w:sz w:val="20"/>
        </w:rPr>
        <w:t>RAS (ON) Inhibitors</w:t>
      </w:r>
    </w:p>
    <w:p>
      <w:pPr>
        <w:pStyle w:val="TextBody"/>
        <w:spacing w:lineRule="auto" w:line="273" w:before="200" w:after="0"/>
        <w:jc w:val="left"/>
        <w:rPr>
          <w:rFonts w:ascii="Times New Roman" w:hAnsi="Times New Roman"/>
          <w:sz w:val="20"/>
        </w:rPr>
      </w:pPr>
      <w:r>
        <w:rPr>
          <w:rFonts w:ascii="Times New Roman" w:hAnsi="Times New Roman"/>
          <w:b w:val="false"/>
          <w:sz w:val="20"/>
        </w:rPr>
        <w:t>Our RAS(ON) Inhibitors are based on our proprietary tri-complex technology platform, which enables a highly differentiated approach to inhibiting the active, GTP-bound form of RAS, which we refer to as RAS(ON). We are developing a portfolio of compounds that we believe are the first and only RAS(ON) inhibitors to use this mechanism of action. We currently have four RAS(ON) Inhibitors in the IND-enabling stage of preclinical development: RMC-6236, our inhibitor of multiple RAS variants, which we refer to as RAS</w:t>
      </w:r>
      <w:r>
        <w:rPr>
          <w:rFonts w:ascii="Times New Roman" w:hAnsi="Times New Roman"/>
          <w:b w:val="false"/>
          <w:sz w:val="13"/>
        </w:rPr>
        <w:t>MULTI</w:t>
      </w:r>
      <w:r>
        <w:rPr>
          <w:rFonts w:ascii="Times New Roman" w:hAnsi="Times New Roman"/>
          <w:b w:val="false"/>
          <w:sz w:val="20"/>
        </w:rPr>
        <w:t>(ON), RMC-6291, our inhibitor targeting KRAS</w:t>
      </w:r>
      <w:r>
        <w:rPr>
          <w:rFonts w:ascii="Times New Roman" w:hAnsi="Times New Roman"/>
          <w:b w:val="false"/>
          <w:sz w:val="13"/>
        </w:rPr>
        <w:t>G12C</w:t>
      </w:r>
      <w:r>
        <w:rPr>
          <w:rFonts w:ascii="Times New Roman" w:hAnsi="Times New Roman"/>
          <w:b w:val="false"/>
          <w:sz w:val="20"/>
        </w:rPr>
        <w:t>(ON), RMC-9805, our inhibitor targeting KRAS</w:t>
      </w:r>
      <w:r>
        <w:rPr>
          <w:rFonts w:ascii="Times New Roman" w:hAnsi="Times New Roman"/>
          <w:b w:val="false"/>
          <w:sz w:val="13"/>
        </w:rPr>
        <w:t>G12D</w:t>
      </w:r>
      <w:r>
        <w:rPr>
          <w:rFonts w:ascii="Times New Roman" w:hAnsi="Times New Roman"/>
          <w:b w:val="false"/>
          <w:sz w:val="20"/>
        </w:rPr>
        <w:t>(ON) and RMC-8839, our inhibitor targeting KRAS</w:t>
      </w:r>
      <w:r>
        <w:rPr>
          <w:rFonts w:ascii="Times New Roman" w:hAnsi="Times New Roman"/>
          <w:b w:val="false"/>
          <w:sz w:val="13"/>
        </w:rPr>
        <w:t>G13C</w:t>
      </w:r>
      <w:r>
        <w:rPr>
          <w:rFonts w:ascii="Times New Roman" w:hAnsi="Times New Roman"/>
          <w:b w:val="false"/>
          <w:sz w:val="20"/>
        </w:rPr>
        <w:t>(ON). We currently plan to submit an IND for RMC-6236 in the first half of 2022 and to provide evidence of first-in-class single agent activity for this compound in 2023. We currently plan to submit an IND for RMC-6291 in the first half of 2022 and to provide preliminary evidence of superior activity for this compound in 2023. We currently plan to submit an IND for RMC-9805 in the first half of 2023 and to submit an IND for RMC-8839 in the second half of 2023. In addition to the compounds currently in development, we are also focused on developing additional mutant-selective inhibitors.</w:t>
      </w:r>
    </w:p>
    <w:p>
      <w:pPr>
        <w:pStyle w:val="TextBody"/>
        <w:spacing w:lineRule="auto" w:line="273" w:before="200" w:after="0"/>
        <w:jc w:val="left"/>
        <w:rPr>
          <w:rFonts w:ascii="Times New Roman" w:hAnsi="Times New Roman"/>
          <w:b/>
          <w:sz w:val="20"/>
        </w:rPr>
      </w:pPr>
      <w:r>
        <w:rPr>
          <w:rFonts w:ascii="Times New Roman" w:hAnsi="Times New Roman"/>
          <w:b/>
          <w:sz w:val="20"/>
        </w:rPr>
        <w:t>RAS Companion Inhibitors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RMC-4630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RAS Companion Inhibitor RMC-4630 is designed as a potent and selective inhibitor of SHP2, a central node in the RAS signaling pathway. In collaboration with Sanofi, we are evaluating RMC-4630 in a multi-cohort Phase 1/2 clinical program.</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highest priority hypothesis regarding RMC-4630 is that it can deliver additional clinical benefit to patients with RAS-addicted tumors treated with a RAS inhibitor. Below is a list of the active or planned clinical studies of RMC-4630 in combination with RAS inhibitors:</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sz w:val="20"/>
        </w:rPr>
        <w:t>an active Amgen-sponsored Phase 1b study of RMC-4630 in combination with Amgen’s KRAS</w:t>
      </w:r>
      <w:r>
        <w:rPr>
          <w:rFonts w:ascii="Times New Roman" w:hAnsi="Times New Roman"/>
          <w:b w:val="false"/>
          <w:sz w:val="13"/>
        </w:rPr>
        <w:t>G12C</w:t>
      </w:r>
      <w:r>
        <w:rPr>
          <w:rFonts w:ascii="Times New Roman" w:hAnsi="Times New Roman"/>
          <w:b w:val="false"/>
          <w:sz w:val="20"/>
        </w:rPr>
        <w:t>(OFF) inhibitor, sotorasib (Lumakras</w:t>
      </w:r>
      <w:r>
        <w:rPr>
          <w:rFonts w:ascii="Times New Roman" w:hAnsi="Times New Roman"/>
          <w:b w:val="false"/>
          <w:sz w:val="13"/>
        </w:rPr>
        <w:t>TM</w:t>
      </w:r>
      <w:r>
        <w:rPr>
          <w:rFonts w:ascii="Times New Roman" w:hAnsi="Times New Roman"/>
          <w:b w:val="false"/>
          <w:sz w:val="20"/>
        </w:rPr>
        <w: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RMC-4630-03, an active Phase 2 study of RMC-4630 in combination with sotorasib that we are sponsoring under a clinical trial collaboration and supply agreement with Amgen under our global partnership with Sanofi; and</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sz w:val="20"/>
        </w:rPr>
        <w:t>the planned Sanofi-sponsored Phase 1/2 study of RMC-4630 in combination with Mirati Therapeutics’ KRAS</w:t>
      </w:r>
      <w:r>
        <w:rPr>
          <w:rFonts w:ascii="Times New Roman" w:hAnsi="Times New Roman"/>
          <w:b w:val="false"/>
          <w:sz w:val="13"/>
        </w:rPr>
        <w:t>G12C</w:t>
      </w:r>
      <w:r>
        <w:rPr>
          <w:rFonts w:ascii="Times New Roman" w:hAnsi="Times New Roman"/>
          <w:b w:val="false"/>
          <w:sz w:val="20"/>
        </w:rPr>
        <w:t>(OFF) inhibitor, adagrasib.</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Amgen is currently evaluating RMC-4630 in an active Phase 1b study in combination with Amgen’s KRAS</w:t>
      </w:r>
      <w:r>
        <w:rPr>
          <w:rFonts w:ascii="Times New Roman" w:hAnsi="Times New Roman"/>
          <w:b w:val="false"/>
          <w:sz w:val="13"/>
        </w:rPr>
        <w:t>G12C</w:t>
      </w:r>
      <w:r>
        <w:rPr>
          <w:rFonts w:ascii="Times New Roman" w:hAnsi="Times New Roman"/>
          <w:b w:val="false"/>
          <w:sz w:val="20"/>
        </w:rPr>
        <w:t xml:space="preserve">(OFF) agent sotorasib in Amgen’s CodeBreaK 101c study. </w:t>
        <w:br/>
      </w:r>
      <w:r>
        <w:rPr>
          <w:rFonts w:ascii="Times New Roman" w:hAnsi="Times New Roman"/>
          <w:sz w:val="20"/>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As a complement to the CodeBreaK 101c study, we are sponsoring RMC-4630-03, which is an additional global Phase 2 study of RMC-4630 in combination with sotorasib for patients with non-small cell lung cancer (NSCLC) carrying a KRAS</w:t>
      </w:r>
      <w:r>
        <w:rPr>
          <w:rFonts w:ascii="Times New Roman" w:hAnsi="Times New Roman"/>
          <w:b w:val="false"/>
          <w:sz w:val="13"/>
        </w:rPr>
        <w:t>G12C</w:t>
      </w:r>
      <w:r>
        <w:rPr>
          <w:rFonts w:ascii="Times New Roman" w:hAnsi="Times New Roman"/>
          <w:sz w:val="20"/>
        </w:rPr>
        <w:t xml:space="preserve"> </w:t>
      </w:r>
      <w:r>
        <w:rPr>
          <w:rFonts w:ascii="Times New Roman" w:hAnsi="Times New Roman"/>
          <w:b w:val="false"/>
          <w:sz w:val="20"/>
        </w:rPr>
        <w:t>mutation who have failed prior standard therapy and who have not previously been treated with a RAS inhibitor. The first patient in RMC-4630-03 has been dosed and enrollment is ongoing. We are sponsoring the RMC-4630-03 study under our global partnership with Sanofi and conducting the trial in collaboration with Amgen, which is supplying sotorasib globally under a clinical collaboration and supply agreement. We expect to complete enrollment in RMC-4630-03 in the second half of 2022, to provide preliminary evidence of the clinical benefit of RMC-4630 as a RAS Companion Inhibitor from the RMC-4630-03 study in the second half of 2022 and to provide additional evidence of the clinical benefit of this compound from this study in 2023.</w:t>
      </w:r>
    </w:p>
    <w:p>
      <w:pPr>
        <w:pStyle w:val="TextBody"/>
        <w:spacing w:lineRule="auto" w:line="273" w:before="200" w:after="0"/>
        <w:jc w:val="left"/>
        <w:rPr>
          <w:rFonts w:ascii="Times New Roman" w:hAnsi="Times New Roman"/>
          <w:sz w:val="20"/>
        </w:rPr>
      </w:pPr>
      <w:r>
        <w:rPr>
          <w:rFonts w:ascii="Times New Roman" w:hAnsi="Times New Roman"/>
          <w:b w:val="false"/>
          <w:sz w:val="20"/>
        </w:rPr>
        <w:t>Sanofi plans to sponsor a combination study under our 2018 collaborative research, development and commercialization agreement with Aventis, Inc. (an affiliate of Sanofi) (the Sanofi Agreement) and under a clinical trial collaboration and supply agreement between Sanofi and Mirati to evaluate RMC-4630 (also known as SAR442720) in combination with Mirati’s KRAS</w:t>
      </w:r>
      <w:r>
        <w:rPr>
          <w:rFonts w:ascii="Times New Roman" w:hAnsi="Times New Roman"/>
          <w:b w:val="false"/>
          <w:sz w:val="13"/>
        </w:rPr>
        <w:t>G12C</w:t>
      </w:r>
      <w:r>
        <w:rPr>
          <w:rFonts w:ascii="Times New Roman" w:hAnsi="Times New Roman"/>
          <w:b w:val="false"/>
          <w:sz w:val="20"/>
        </w:rPr>
        <w:t>(OFF) inhibitor, adagrasib.</w:t>
        <w:br/>
      </w:r>
      <w:r>
        <w:rPr>
          <w:rFonts w:ascii="Times New Roman" w:hAnsi="Times New Roman"/>
          <w:sz w:val="20"/>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There are also several active or planned clinical studies of RMC-4630 that do not involve combinations with RAS inhibitors:</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RMC-4630-01, an active Phase 1 study of RMC-4630 as monotherapy;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 Sanofi-sponsored active Phase 1/2 study of RMC-4630 in combination with the PD-1 inhibitor pembrolizumab (Keytruda®);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 combination of RMC-4630 with an ERK inhibitor in patients with pancreatic cancer as part of an investigator sponsored study planned by Netherlands Cancer Institute.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RMC-5552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Our RAS Companion Inhibitor RMC-5552 is designed as a selective inhibitor of hyperactivated mTORC1 signaling in tumors. We are evaluating RMC-5552 first as a monotherapy in a Phase 1 study (RMC-5552-01), and plan to evaluate RMC-5552 in combination with RAS inhibitors for patients with cancers harboring a RAS mutation and co-occurring mutations in the mTOR signaling pathway.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January 2022, we reported initial findings from the ongoing dose escalation portion of the RMC-5552-01 study, including preliminary evidence of clinical activity against advanced tumors with mutations associated with hyperactive mTORC1 signaling. As of January 7, 2022, all four efficacy evaluable patients treated with 6 mg per week experienced disease control, including one patient with a confirmed partial response with a 63% reduction from baseline and the other three with stable disease. We currently expect to provide additional evidence of single agent activity for this compound in 2023.</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RMC-5845</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Our RAS Companion Inhibitor RMC-5845 targets SOS1, a protein that plays a key role in converting RAS(OFF) to RAS(ON) in cells. RMC-5845 is intended for select combination therapies for certain genetically-defined tumors. This compound is ready for preparation of an IND based on the Company’s preclinical development. We continue evaluating the scientific rationale for advancing RMC-5845 into clinical development in the context of other assets in our portfolio.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Collaboration agreement with Sanofi</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 June 2018, we entered into the Sanofi Agreement with Aventis, Inc. (an affiliate of Sanofi)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Under the Sanofi Agreement, we have primary responsibility for early clinical development of RMC-4630 pursuant to a development plan that is currently approved through 2022. The development plan and budget beyond 2022 will be determined by a joint research and development committee, over which Sanofi has final decision-making power subject to certain exceptions. Sanofi is responsible to reimburse us for all internal and external costs and expenses to perform our activities under approved development plans, except for costs and expenses related to studies designated in the Sanofi Agreement as RevMed Studies, for which we will bear all costs and expenses, and for the planned RMC-4630-03 study, for which we have agreed that Sanofi will reimburse us for 50% of the costs and expenses. Unreimbursed costs borne by us for any RevMed Studies and for our 50% share of the RMC-4630-03 collaboration study are subject to future reimbursement by Sanofi through a buy-in payment pursuant to the terms of the Sanofi Agreement if they use data from a RevMed Study or the RMC-4630-03 study in support of a marketing approval application. There currently are no active RevMed Studies.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responsible for the manufacture of SHP2 inhibitors for Phase 1 and non-registrational Phase 2 clinical trials pursuant to a development plan that is currently approved through 2022,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are also primarily responsible for performing preclinical research on SHP2 inhibitors, pursuant to a research plan that is currently approved through 2021. The parties currently do not anticipate additional collaboration preclinical research under the research plan in 2022. Sanofi is responsible to reimburse us for all internal and external costs and expenses incurred to perform activities under approved research plans, with the exception of internal and external research costs and expenses under the approved research plans for 2019 and 2020, for which Sanofi was obligated to reimburse us for 80% of such costs. We were responsible for 20% of all internal and external research costs incurred under the research plans for 2019 and 2020. Sanofi is responsible to reimburse us for all internal and external costs and expenses incurred under the research plan for 2021.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During the term of the Sanofi Agreement, we may not, alone or with any affiliate or third party, conduct certain research activities with respect to, or develop or commercialize, any product that contains a SHP2 inhibitor outside of the Sanofi Agreement.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Sanofi has the sole and exclusive right to file, prosecute and maintain any patents licensed to it pursuant to the Sanofi Agreement, as well as to enforce infringement of or defend claims against such patents that relate to SHP2 inhibitor products.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Through December 31, 2021, we have received an aggregate of $154.8 million from Sanofi, including the upfront payment and research and development expense reimbursements. </w:t>
        <w:br/>
      </w:r>
      <w:r>
        <w:rPr>
          <w:rFonts w:ascii="Times New Roman" w:hAnsi="Times New Roman"/>
          <w:sz w:val="20"/>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Financial Operations Overview</w:t>
      </w:r>
    </w:p>
    <w:p>
      <w:pPr>
        <w:pStyle w:val="TextBody"/>
        <w:spacing w:lineRule="auto" w:line="273" w:before="200" w:after="0"/>
        <w:jc w:val="left"/>
        <w:rPr>
          <w:rFonts w:ascii="Times New Roman" w:hAnsi="Times New Roman"/>
          <w:sz w:val="20"/>
        </w:rPr>
      </w:pPr>
      <w:r>
        <w:rPr>
          <w:rFonts w:ascii="Times New Roman" w:hAnsi="Times New Roman"/>
          <w:b/>
          <w:i/>
          <w:sz w:val="20"/>
        </w:rPr>
        <w:t>Collaboration revenue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Collaboration revenue consists of revenue under the Sanofi Agreement for our SHP2 program. We entered into the Sanofi Agreement in June 2018. We received a $50.0 million upfront payment from Sanofi in July 2018, receive reimbursement for research and development services, and are entitled to future potential development and regulatory milestones.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For further information on our revenue recognition policies, see “Note 2. Summary of significant accounting policies” in the “Notes to Consolidated Financial Statements” contained in Part II, Item 8 of this Annual Report on Form 10-K.</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substantially rely on third parties to conduct our preclinical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Research and development expenses consist primarily of costs incurred for the development of our product candidates and costs associated with identifying compounds through our discovery platform, which include:</w:t>
      </w:r>
      <w:r>
        <w:rPr>
          <w:rFonts w:ascii="Times New Roman" w:hAnsi="Times New Roman"/>
          <w:sz w:val="20"/>
        </w:rPr>
        <w:t xml:space="preserve"> </w:t>
      </w:r>
    </w:p>
    <w:p>
      <w:pPr>
        <w:pStyle w:val="TextBody"/>
        <w:spacing w:lineRule="auto" w:line="252" w:before="120" w:after="0"/>
        <w:jc w:val="left"/>
        <w:rPr/>
      </w:pPr>
      <w:r>
        <w:rPr/>
        <w:t>•</w:t>
      </w:r>
    </w:p>
    <w:p>
      <w:pPr>
        <w:pStyle w:val="TextBody"/>
        <w:spacing w:lineRule="auto" w:line="252" w:before="120" w:after="0"/>
        <w:jc w:val="left"/>
        <w:rPr>
          <w:rFonts w:ascii="Times New Roman" w:hAnsi="Times New Roman"/>
          <w:b w:val="false"/>
          <w:sz w:val="20"/>
        </w:rPr>
      </w:pPr>
      <w:r>
        <w:rPr>
          <w:rFonts w:ascii="Times New Roman" w:hAnsi="Times New Roman"/>
          <w:b w:val="false"/>
          <w:sz w:val="20"/>
        </w:rPr>
        <w:t xml:space="preserve">expenses incurred under agreements with third-party contract organizations, investigative clinical trial sites that conduct research and development activities on our behalf, and consultants; </w:t>
      </w:r>
    </w:p>
    <w:p>
      <w:pPr>
        <w:pStyle w:val="TextBody"/>
        <w:spacing w:lineRule="auto" w:line="252" w:before="120" w:after="0"/>
        <w:jc w:val="left"/>
        <w:rPr/>
      </w:pPr>
      <w:r>
        <w:rPr/>
        <w:t>•</w:t>
      </w:r>
    </w:p>
    <w:p>
      <w:pPr>
        <w:pStyle w:val="TextBody"/>
        <w:spacing w:lineRule="auto" w:line="252" w:before="120" w:after="0"/>
        <w:jc w:val="left"/>
        <w:rPr>
          <w:rFonts w:ascii="Times New Roman" w:hAnsi="Times New Roman"/>
          <w:b w:val="false"/>
          <w:sz w:val="20"/>
        </w:rPr>
      </w:pPr>
      <w:r>
        <w:rPr>
          <w:rFonts w:ascii="Times New Roman" w:hAnsi="Times New Roman"/>
          <w:b w:val="false"/>
          <w:sz w:val="20"/>
        </w:rPr>
        <w:t xml:space="preserve">costs related to production of clinical and preclinical materials, including fees paid to contract manufacturers; </w:t>
      </w:r>
    </w:p>
    <w:p>
      <w:pPr>
        <w:pStyle w:val="TextBody"/>
        <w:spacing w:lineRule="auto" w:line="252" w:before="120" w:after="0"/>
        <w:jc w:val="left"/>
        <w:rPr/>
      </w:pPr>
      <w:r>
        <w:rPr/>
        <w:t>•</w:t>
      </w:r>
    </w:p>
    <w:p>
      <w:pPr>
        <w:pStyle w:val="TextBody"/>
        <w:spacing w:lineRule="auto" w:line="252" w:before="120" w:after="0"/>
        <w:jc w:val="left"/>
        <w:rPr>
          <w:rFonts w:ascii="Times New Roman" w:hAnsi="Times New Roman"/>
          <w:b w:val="false"/>
          <w:sz w:val="20"/>
        </w:rPr>
      </w:pPr>
      <w:r>
        <w:rPr>
          <w:rFonts w:ascii="Times New Roman" w:hAnsi="Times New Roman"/>
          <w:b w:val="false"/>
          <w:sz w:val="20"/>
        </w:rPr>
        <w:t xml:space="preserve">laboratory and vendor expenses related to the execution of discovery programs, preclinical and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employee-related expenses, which include salaries, benefits and stock-based compensation;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facilities and other expenses, which include allocated expenses for rent and maintenance of facilities, depreciation and amortization expense, information technology and other supplies. </w:t>
      </w:r>
    </w:p>
    <w:p>
      <w:pPr>
        <w:pStyle w:val="TextBody"/>
        <w:spacing w:lineRule="auto" w:line="273" w:before="200" w:after="0"/>
        <w:jc w:val="left"/>
        <w:rPr>
          <w:rFonts w:ascii="Times New Roman" w:hAnsi="Times New Roman"/>
          <w:sz w:val="20"/>
        </w:rPr>
      </w:pPr>
      <w:r>
        <w:rPr>
          <w:rFonts w:ascii="Times New Roman" w:hAnsi="Times New Roman"/>
          <w:b w:val="false"/>
          <w:sz w:val="20"/>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Sanofi is responsible to reimburse us all internal and external costs and expenses to perform our activities under approved development plans, except for 50% of the RMC-4630-03 study and any future RevMed Study. Additionally, Sanofi is responsible to reimburse us for all internal and external costs and expenses incurred to perform activities under approved research plans for RMC-4630, with the exception of internal and external research costs and expenses under the approved research plans for 2019 and 2020, for which Sanofi was obligated to reimburse us for 80% of such costs. We were responsible for 20% of all internal and external research costs incurred under the research plans for 2019 and 2020. Sanofi was responsible to reimburse us for all internal and external costs and expenses incurred under the research plan for 2021. These reimbursements from Sanofi are recorded as collaboration revenue.</w:t>
      </w:r>
    </w:p>
    <w:p>
      <w:pPr>
        <w:pStyle w:val="TextBody"/>
        <w:spacing w:lineRule="auto" w:line="273" w:before="200" w:after="0"/>
        <w:jc w:val="left"/>
        <w:rPr>
          <w:rFonts w:ascii="Times New Roman" w:hAnsi="Times New Roman"/>
          <w:sz w:val="20"/>
        </w:rPr>
      </w:pPr>
      <w:r>
        <w:rPr>
          <w:rFonts w:ascii="Times New Roman" w:hAnsi="Times New Roman"/>
          <w:b w:val="false"/>
          <w:sz w:val="20"/>
        </w:rPr>
        <w:t>We expect our research and development expenses to increase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79</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a result, we are unable to determine the duration and completion costs of our research and development projects or clinical trials or if and to what extent we will generate revenue from the commercialization and sale of any of our product candidates.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General and administrative expenses consist primarily of personnel-related costs, consultants and professional services expenses, including legal, audit, accounting and human resources services, insurance,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We expect our general and administrative expenses to increase for the foreseeable future due to anticipated increases in headcount and as a result of operating as a public company, including expenses related to compliance with the rules and regulations of the Securities and Exchange Commission, the Nasdaq Global Select Market, additional insurance expenses, investor relations activities and other administrative and professional services.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Interest income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Interest income primarily consists of interest earned on our cash equivalents and marketable securities.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Interest expense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Interest expense primarily consists of interest related to our finance lease and interest on other outstanding obligations.</w:t>
      </w:r>
      <w:r>
        <w:rPr>
          <w:rFonts w:ascii="Times New Roman" w:hAnsi="Times New Roman"/>
          <w:sz w:val="20"/>
        </w:rPr>
        <w:t xml:space="preserve"> </w:t>
      </w:r>
    </w:p>
    <w:p>
      <w:pPr>
        <w:pStyle w:val="TextBody"/>
        <w:spacing w:lineRule="auto" w:line="273" w:before="200" w:after="0"/>
        <w:jc w:val="left"/>
        <w:rPr>
          <w:rFonts w:ascii="Times New Roman" w:hAnsi="Times New Roman"/>
          <w:b/>
          <w:i/>
          <w:sz w:val="20"/>
        </w:rPr>
      </w:pPr>
      <w:r>
        <w:rPr>
          <w:rFonts w:ascii="Times New Roman" w:hAnsi="Times New Roman"/>
          <w:b/>
          <w:i/>
          <w:sz w:val="20"/>
        </w:rPr>
        <w:t>Benefit from income taxes</w:t>
      </w:r>
    </w:p>
    <w:p>
      <w:pPr>
        <w:pStyle w:val="TextBody"/>
        <w:spacing w:lineRule="auto" w:line="273" w:before="200" w:after="0"/>
        <w:jc w:val="left"/>
        <w:rPr>
          <w:rFonts w:ascii="Times New Roman" w:hAnsi="Times New Roman"/>
          <w:sz w:val="20"/>
        </w:rPr>
      </w:pPr>
      <w:r>
        <w:rPr>
          <w:rFonts w:ascii="Times New Roman" w:hAnsi="Times New Roman"/>
          <w:b w:val="false"/>
          <w:sz w:val="20"/>
        </w:rPr>
        <w:t>Benefit from income taxes relates to net changes in the deferred tax liability associated with our Warp Drive acquisition resulting from changes in the effective state tax rate and changes in our valuation allowance.</w:t>
      </w:r>
      <w:r>
        <w:rPr>
          <w:rFonts w:ascii="Times New Roman" w:hAnsi="Times New Roman"/>
          <w:sz w:val="20"/>
        </w:rPr>
        <w:t xml:space="preserve"> </w:t>
      </w:r>
    </w:p>
    <w:p>
      <w:pPr>
        <w:pStyle w:val="TextBody"/>
        <w:spacing w:lineRule="auto" w:line="273" w:before="200" w:after="0"/>
        <w:jc w:val="left"/>
        <w:rPr>
          <w:rFonts w:ascii="Times New Roman" w:hAnsi="Times New Roman"/>
          <w:b/>
          <w:sz w:val="20"/>
        </w:rPr>
      </w:pPr>
      <w:r>
        <w:rPr>
          <w:rFonts w:ascii="Times New Roman" w:hAnsi="Times New Roman"/>
          <w:b/>
          <w:sz w:val="20"/>
        </w:rPr>
        <w:t>Results of operations</w:t>
      </w:r>
    </w:p>
    <w:p>
      <w:pPr>
        <w:pStyle w:val="TextBody"/>
        <w:spacing w:lineRule="auto" w:line="273" w:before="200" w:after="0"/>
        <w:jc w:val="left"/>
        <w:rPr>
          <w:rFonts w:ascii="Times New Roman" w:hAnsi="Times New Roman"/>
          <w:b/>
          <w:i/>
          <w:sz w:val="20"/>
        </w:rPr>
      </w:pPr>
      <w:r>
        <w:rPr>
          <w:rFonts w:ascii="Times New Roman" w:hAnsi="Times New Roman"/>
          <w:b/>
          <w:i/>
          <w:sz w:val="20"/>
        </w:rPr>
        <w:t>Comparison of the years ended December 31, 2021 and 2020</w:t>
      </w:r>
    </w:p>
    <w:p>
      <w:pPr>
        <w:pStyle w:val="TextBody"/>
        <w:spacing w:lineRule="auto" w:line="273" w:before="0" w:after="0"/>
        <w:jc w:val="left"/>
        <w:rPr/>
      </w:pPr>
      <w:r>
        <w:rPr/>
        <w:t> </w:t>
      </w:r>
    </w:p>
    <w:tbl>
      <w:tblPr>
        <w:tblW w:w="7068" w:type="dxa"/>
        <w:jc w:val="left"/>
        <w:tblInd w:w="0" w:type="dxa"/>
        <w:tblCellMar>
          <w:top w:w="28" w:type="dxa"/>
          <w:left w:w="28" w:type="dxa"/>
          <w:bottom w:w="28" w:type="dxa"/>
          <w:right w:w="28" w:type="dxa"/>
        </w:tblCellMar>
      </w:tblPr>
      <w:tblGrid>
        <w:gridCol w:w="2836"/>
        <w:gridCol w:w="146"/>
        <w:gridCol w:w="211"/>
        <w:gridCol w:w="841"/>
        <w:gridCol w:w="166"/>
        <w:gridCol w:w="146"/>
        <w:gridCol w:w="211"/>
        <w:gridCol w:w="841"/>
        <w:gridCol w:w="166"/>
        <w:gridCol w:w="146"/>
        <w:gridCol w:w="211"/>
        <w:gridCol w:w="736"/>
        <w:gridCol w:w="411"/>
      </w:tblGrid>
      <w:tr>
        <w:trPr/>
        <w:tc>
          <w:tcPr>
            <w:tcW w:w="28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8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Years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28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Increase/ </w:t>
              <w:br/>
              <w:t>(decrease)</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8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5"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28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28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Collaboration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(13,593</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28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42,983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(13,593</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8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28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186,948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132,252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54,696</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8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30,450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21,428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9,022</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8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217,398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153,680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63,718</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8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(188,008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(110,697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(77,311</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8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28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2,238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(1,309</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28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83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2,167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(1,250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8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before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(187,091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(108,530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(78,561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8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Benefit from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8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(187,091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(108,159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(78,932</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Collaboration revenue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Collaboration revenue, consists of revenue under the Sanofi Agreement. In August 2021, we entered into a Letter Agreement with Sanofi to include RMC-4630-03 under the development plan for RMC-4630 ceased enrollment of new patients in RMC-4630-02. As a result of these development plan adjustments, we revised our estimate of the accounting transaction price and our percentage of</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80</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completion under the agreements with Sanofi, which resulted in a cumulative catch-up adjustment that reduced collaboration revenue by $8.5 million for the year ended December 31, 2021.</w:t>
      </w:r>
    </w:p>
    <w:p>
      <w:pPr>
        <w:pStyle w:val="TextBody"/>
        <w:spacing w:lineRule="auto" w:line="273" w:before="200" w:after="0"/>
        <w:jc w:val="left"/>
        <w:rPr>
          <w:rFonts w:ascii="Times New Roman" w:hAnsi="Times New Roman"/>
          <w:sz w:val="20"/>
        </w:rPr>
      </w:pPr>
      <w:r>
        <w:rPr>
          <w:rFonts w:ascii="Times New Roman" w:hAnsi="Times New Roman"/>
          <w:b w:val="false"/>
          <w:sz w:val="20"/>
        </w:rPr>
        <w:t>Collaboration revenue decreased by $13.6 million, or 32%, during the year ended December 31, 2021 compared to the same period in 2020. The decreases are primarily due to the cumulative catch-up adjustment and lower reimbursed manufacturing costs.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Research and development expenses increased by $54.7 million, or 41%, during the year ended December 31, 2021 compared to the same period in 2020. The increase in research and development expenses during the year ended December 31, 2021 was primarily due to a $34.5 million increase in third party costs for our preclinical research portfolio, primarily driven by higher chemistry contract research organization, material sourcing and manufacturing costs; a $9.2 million increase in salaries and other employee-related expenses due to increased headcount to support our research and development programs, a $7.0 million increase in stock-based compensation and a $5.4 million increase in facilities and other allocated expenses as a result of higher rent, utilities and information technology expenses associated with increased headcount.</w:t>
      </w:r>
    </w:p>
    <w:p>
      <w:pPr>
        <w:pStyle w:val="TextBody"/>
        <w:spacing w:lineRule="auto" w:line="273" w:before="20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General and administrative expenses increased by $9.0 million, or 42%, during the year ended December 31, 2021 compared to the same period in 2020. The increase in general and administrative expenses during the year ended December 31, 2021 was primarily due to an increase of $4.8 million in stock-based compensation expense; an increase of $2.3 million in salaries and other employee-related expenses due to increased headcount; and an increase of $0.8 million in insurance.</w:t>
      </w:r>
    </w:p>
    <w:p>
      <w:pPr>
        <w:pStyle w:val="TextBody"/>
        <w:spacing w:lineRule="auto" w:line="273" w:before="200" w:after="0"/>
        <w:jc w:val="left"/>
        <w:rPr>
          <w:rFonts w:ascii="Times New Roman" w:hAnsi="Times New Roman"/>
          <w:sz w:val="20"/>
        </w:rPr>
      </w:pPr>
      <w:r>
        <w:rPr>
          <w:rFonts w:ascii="Times New Roman" w:hAnsi="Times New Roman"/>
          <w:b/>
          <w:i/>
          <w:sz w:val="20"/>
        </w:rPr>
        <w:t>Interest income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Interest income decreased by $1.3 million for the year ended December 31, 2021, compared to the same period in 2020 due to lower interest rates.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Interest expense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Interest expense was less than $0.1 million for both years ended December 31, 2021 and 2020.</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Benefit from income taxes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Benefit from income taxes was zero for the year ended December 31, 2021 and $0.4 million for the year ended December 31, 2020 and relate to net changes in the valuation allowance resulting from the Warp Drive acquisition.</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On March 27, 2020, the United States enacted the Coronavirus Aid, Relief, and Economic Security Act, or the CARES Act, as a result of the Coronavirus pandemic, which contains among other things, numerous income tax provisions. Some of these tax provisions are expected to be effective retroactively for years ending before the date of enactment. We have evaluated the current legislation and at this time, do not anticipate the CARES Act to have a material impact on its financial statements.</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i/>
          <w:sz w:val="20"/>
        </w:rPr>
      </w:pPr>
      <w:r>
        <w:rPr>
          <w:rFonts w:ascii="Times New Roman" w:hAnsi="Times New Roman"/>
          <w:b/>
          <w:i/>
          <w:sz w:val="20"/>
        </w:rPr>
        <w:t>Comparison of the years ended December 31, 2020 and 2019</w:t>
      </w:r>
    </w:p>
    <w:p>
      <w:pPr>
        <w:pStyle w:val="TextBody"/>
        <w:spacing w:lineRule="auto" w:line="273" w:before="0" w:after="0"/>
        <w:jc w:val="left"/>
        <w:rPr/>
      </w:pPr>
      <w:r>
        <w:rPr/>
        <w:t> </w:t>
      </w:r>
    </w:p>
    <w:tbl>
      <w:tblPr>
        <w:tblW w:w="7188" w:type="dxa"/>
        <w:jc w:val="left"/>
        <w:tblInd w:w="0" w:type="dxa"/>
        <w:tblCellMar>
          <w:top w:w="28" w:type="dxa"/>
          <w:left w:w="28" w:type="dxa"/>
          <w:bottom w:w="28" w:type="dxa"/>
          <w:right w:w="28" w:type="dxa"/>
        </w:tblCellMar>
      </w:tblPr>
      <w:tblGrid>
        <w:gridCol w:w="3016"/>
        <w:gridCol w:w="146"/>
        <w:gridCol w:w="211"/>
        <w:gridCol w:w="841"/>
        <w:gridCol w:w="166"/>
        <w:gridCol w:w="146"/>
        <w:gridCol w:w="211"/>
        <w:gridCol w:w="781"/>
        <w:gridCol w:w="166"/>
        <w:gridCol w:w="146"/>
        <w:gridCol w:w="211"/>
        <w:gridCol w:w="736"/>
        <w:gridCol w:w="41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30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Increase/ </w:t>
              <w:br/>
              <w:t>(decrease)</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5"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30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30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Collaboration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50,041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(7,058</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0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42,983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50,041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(7,058</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0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30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132,252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91,755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40,497</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0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21,428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12,406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9,022</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30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153,680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104,161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49,519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(110,697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(54,120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(56,577</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0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30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2,238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2,189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0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0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interest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84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2,167</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8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2,083</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84</w:t>
            </w:r>
          </w:p>
        </w:tc>
        <w:tc>
          <w:tcPr>
            <w:tcW w:w="4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r>
        <w:trPr/>
        <w:tc>
          <w:tcPr>
            <w:tcW w:w="30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before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(108,530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(52,037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(56,493</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0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Benefit from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(4,002</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0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(108,159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(47,664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(60,495</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Collaboration revenue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Collaboration revenue decreased by $7.1 million, or 14%, during the year ended December 31, 2020 compared to the same period in 2019. The decrease in collaboration revenue during the year ended December 31, 2020 was primarily due to lower research and development costs incurred by us for our SHP2 program under the Sanofi Agreement resulting from lower manufacturing costs, which were partially offset by higher clinical trial costs. During the year ended December 31, 2019, we incurred upfront manufacturing costs related to the supply of RMC-4630 for our clinical trials.</w:t>
        <w:br/>
      </w:r>
      <w:r>
        <w:rPr>
          <w:rFonts w:ascii="Times New Roman" w:hAnsi="Times New Roman"/>
          <w:sz w:val="20"/>
        </w:rPr>
        <w:t> </w:t>
      </w:r>
    </w:p>
    <w:p>
      <w:pPr>
        <w:pStyle w:val="TextBody"/>
        <w:spacing w:lineRule="auto" w:line="273" w:before="20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Research and development expenses increased by $40.5 million, or 44%, during the year ended December 31, 2020 compared to the same period in 2019. The increase in research and development expenses during the year ended December 31, 2020 was primarily due to a $36.1 million increase in third party costs for our preclinical research portfolio, primarily driven by higher chemistry contract research organization, material sourcing and manufacturing costs for our pre-clinical activities; a $5.6 million increase in salaries and other employee-related expenses due to increased headcount to support our research and development programs; a $3.1 million increase in stock-based compensation; a $1.3 million increase in facilities and other allocated expenses as a result of higher rent, utilities and information technology expenses associated with increased headcount; offset by a decrease of $5.9 million in third-party expenses for our SHP2 program resulting from lower manufacturing costs as we incurred upfront manufacturing costs related to the supply of RMC-4630 for our clinical trials.</w:t>
      </w:r>
    </w:p>
    <w:p>
      <w:pPr>
        <w:pStyle w:val="TextBody"/>
        <w:spacing w:lineRule="auto" w:line="273" w:before="20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General and administrative expenses increased by $9.0 million, or 73%, during the year ended December 31, 2020 compared to the same period in 2019. The increase was primarily due to an increase of $2.8 million in insurance costs as a result of becoming a public company; an increase of $2.7 million in stock-based compensation expense; an increase of $2.0 million in salaries and other employee-related expenses due to increased headcount; and an increase of $0.8 million in legal and accounting expenses.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Interest income</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Interest income increased by less than $0.1 million the year ended December 31, 2020 compared to the same period in 2019. The increase was due to interest income earned from higher average investment balances resulting from the net proceeds from our Series C preferred stock financing in 2019, initial public offering in February 2020 and follow-on public offering in July 2020 offset by lower interest rates.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82</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i/>
          <w:sz w:val="20"/>
        </w:rPr>
        <w:t>Interest expense</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Interest expense was $0.1 million for both years ended December 31, 2020 and 2019.</w:t>
      </w:r>
    </w:p>
    <w:p>
      <w:pPr>
        <w:pStyle w:val="TextBody"/>
        <w:spacing w:lineRule="auto" w:line="273" w:before="200" w:after="0"/>
        <w:jc w:val="left"/>
        <w:rPr>
          <w:rFonts w:ascii="Times New Roman" w:hAnsi="Times New Roman"/>
          <w:sz w:val="20"/>
        </w:rPr>
      </w:pPr>
      <w:r>
        <w:rPr>
          <w:rFonts w:ascii="Times New Roman" w:hAnsi="Times New Roman"/>
          <w:b/>
          <w:i/>
          <w:sz w:val="20"/>
        </w:rPr>
        <w:t>Benefit from income taxes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Benefit from income taxes was $0.4 million for the year ended December 31, 2020 and relates to a reduction in the effective state tax rate and the resulting impact on the deferred tax liabilities from the Warp Drive acquisition. Benefit from income taxes was $4.4 million the year ended December 31, 2019 and relates to net changes in the valuation allowance resulting from the Warp Drive acquisition.</w:t>
      </w:r>
    </w:p>
    <w:p>
      <w:pPr>
        <w:pStyle w:val="TextBody"/>
        <w:spacing w:lineRule="auto" w:line="273" w:before="200" w:after="0"/>
        <w:jc w:val="left"/>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In February 2020, we closed our IPO and issued 16,100,000 shares of our common stock at a price to the public of $17.00 per share for net proceeds of approximately $250.7 million, after deducting underwriting discounts and commissions of $19.2 million and expenses of $3.8 million.</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In July 2020, we issued 6,900,000 shares of our common stock in an underwritten public offering at a price of $26.00 per share for net proceeds of $167.8 million, after deducting underwriting discounts and commissions of $10.8 million and offering expenses of $0.8 million.</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In February 2021, we issued 6,666,666 shares of our common stock in an underwritten public offering at a price of $45.00 per share for net proceeds of $281.3 million, after deducting underwriting discounts and commissions of $18.0 million and offering expenses of $0.7 million.</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In November 2021, we entered into a sales agreement with Cowen and Company, LLC (Cowen) to sell shares of our common stock, from time to time, with aggregate gross proceeds of up to $250 million, through an at-the-market equity offering program (ATM) under which Cowen agreed to act as our sales agent. From November 2021 to December 31, 2021, we sold an aggregate of 339,302 shares of common stock under the ATM resulting in gross proceeds to us of $10.4 million. After deducting commissions and expenses of $0.3 million, net proceeds to us were $10.1 million.</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Our operations have been financed primarily by our public offerings of common stock, net proceeds of $230.6 million from the issuance of our preferred stock and $154.8 million received under the Sanofi Agreement for upfront payments and for research and development cost reimbursement.</w:t>
      </w:r>
    </w:p>
    <w:p>
      <w:pPr>
        <w:pStyle w:val="TextBody"/>
        <w:spacing w:lineRule="auto" w:line="273" w:before="200" w:after="0"/>
        <w:jc w:val="left"/>
        <w:rPr>
          <w:rFonts w:ascii="Times New Roman" w:hAnsi="Times New Roman"/>
          <w:sz w:val="20"/>
        </w:rPr>
      </w:pPr>
      <w:r>
        <w:rPr>
          <w:rFonts w:ascii="Times New Roman" w:hAnsi="Times New Roman"/>
          <w:b w:val="false"/>
          <w:sz w:val="20"/>
        </w:rPr>
        <w:t>As of December 31, 2021, we had $577.1 million in cash, cash equivalents and marketable securities.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As of December 31, 2021, we had an accumulated deficit of $452.6 million. Our primary use of cash is to fund operating expenses, which consist primarily of research and development expenditures related to our product candidates and our pre-clinical research portfolio, and to a lesser extent, general and administrative expenditures. We expect our expenses to continue to increase in connection with our ongoing activities, particularly as we continue to advance our product candidates and pre-clinical research portfolio.</w:t>
      </w:r>
    </w:p>
    <w:p>
      <w:pPr>
        <w:pStyle w:val="TextBody"/>
        <w:spacing w:lineRule="auto" w:line="273" w:before="200" w:after="0"/>
        <w:jc w:val="left"/>
        <w:rPr>
          <w:rFonts w:ascii="Times New Roman" w:hAnsi="Times New Roman"/>
          <w:sz w:val="20"/>
        </w:rPr>
      </w:pPr>
      <w:r>
        <w:rPr>
          <w:rFonts w:ascii="Times New Roman" w:hAnsi="Times New Roman"/>
          <w:b w:val="false"/>
          <w:sz w:val="20"/>
        </w:rPr>
        <w:t>We believe that our existing cash, cash equivalents and marketable securities will enable us to fund our planned operations for at least 12 months following the date of this report.</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timing and amount of our future funding requirements depends on many factors, including:</w:t>
      </w:r>
      <w:r>
        <w:rPr>
          <w:rFonts w:ascii="Times New Roman" w:hAnsi="Times New Roman"/>
          <w:sz w:val="20"/>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scope, progress, results and costs of researching and developing our product candidates and programs, and of conducting preclinical studies and clinical trials;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of, and the costs involved in, obtaining marketing approvals for product candidates we develop if clinical trials are successful;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success of our collaboration with Sanofi, including the continued reimbursement by Sanofi of substantially all of our research costs and all of our development costs for our SHP2 program under the Sanofi Agreement (other than for the RMC-4630-03 study or any RevMed Studies);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whether we achieve certain clinical and regulatory milestones under the Sanofi Agreement, each of which would trigger additional payments to us;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83</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 of manufacturing our current and future product candidates for clinical trials in preparation for marketing approval and in preparation for commercialization;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our ability to establish and maintain strategic licenses or other arrangements and the financial terms of such agreements;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costs involved in preparing, filing, prosecuting, maintaining, expanding, defending and enforcing patent claims, including litigation costs and the outcome of such litigation;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timing, receipt and amount of sales of, profit share or royalties on, our future products, if any;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emergence of competing cancer therapies or other adverse market developments;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any plans to acquire or in-license other programs or technologies.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We expect to need to obtain substantial additional funding in the future for our research and development activities and continuing operations. Sanofi reimburses us for almost all of our research and development expenses associated with our SHP2 program, however Sanofi has the right to terminate the Sanofi Agreement for any reason, upon prior notice to us within certain specified time periods and upon any such termination by Sanofi with respect to any product or country, all licenses to Sanofi with respect to such product or country shall automatically terminate and all rights generally revert back to us. If we need to raise additional capital to fund our operations,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and if the debt is convertible into our common stock, the ownership interest of our stockholders may be diluted. If we are unable to raise capital, we may need to delay, reduce or terminate planned activities to reduce costs. Doing so will likely harm our ability to execute our business plans.</w:t>
      </w:r>
    </w:p>
    <w:p>
      <w:pPr>
        <w:pStyle w:val="TextBody"/>
        <w:spacing w:lineRule="auto" w:line="273" w:before="200" w:after="0"/>
        <w:jc w:val="left"/>
        <w:rPr>
          <w:rFonts w:ascii="Times New Roman" w:hAnsi="Times New Roman"/>
          <w:sz w:val="20"/>
        </w:rPr>
      </w:pPr>
      <w:r>
        <w:rPr>
          <w:rFonts w:ascii="Times New Roman" w:hAnsi="Times New Roman"/>
          <w:b/>
          <w:sz w:val="20"/>
        </w:rPr>
        <w:t>Cash flows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following table summarizes our consolidated cash flows for the periods indicated:</w:t>
      </w:r>
      <w:r>
        <w:rPr>
          <w:rFonts w:ascii="Times New Roman" w:hAnsi="Times New Roman"/>
          <w:sz w:val="20"/>
        </w:rPr>
        <w:t xml:space="preserve"> </w:t>
      </w:r>
    </w:p>
    <w:p>
      <w:pPr>
        <w:pStyle w:val="TextBody"/>
        <w:spacing w:lineRule="auto" w:line="273" w:before="0" w:after="0"/>
        <w:jc w:val="left"/>
        <w:rPr/>
      </w:pPr>
      <w:r>
        <w:rPr/>
        <w:t> </w:t>
      </w:r>
    </w:p>
    <w:tbl>
      <w:tblPr>
        <w:tblW w:w="7628" w:type="dxa"/>
        <w:jc w:val="left"/>
        <w:tblInd w:w="0" w:type="dxa"/>
        <w:tblCellMar>
          <w:top w:w="28" w:type="dxa"/>
          <w:left w:w="28" w:type="dxa"/>
          <w:bottom w:w="28" w:type="dxa"/>
          <w:right w:w="28" w:type="dxa"/>
        </w:tblCellMar>
      </w:tblPr>
      <w:tblGrid>
        <w:gridCol w:w="3391"/>
        <w:gridCol w:w="146"/>
        <w:gridCol w:w="211"/>
        <w:gridCol w:w="841"/>
        <w:gridCol w:w="166"/>
        <w:gridCol w:w="146"/>
        <w:gridCol w:w="211"/>
        <w:gridCol w:w="841"/>
        <w:gridCol w:w="166"/>
        <w:gridCol w:w="146"/>
        <w:gridCol w:w="211"/>
        <w:gridCol w:w="841"/>
        <w:gridCol w:w="31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8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80"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11" w:type="dxa"/>
            <w:tcBorders/>
            <w:shd w:fill="auto" w:val="cle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Net cash provided by (used in):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311" w:type="dxa"/>
            <w:tcBorders/>
            <w:shd w:fill="auto" w:val="clear"/>
            <w:vAlign w:val="center"/>
          </w:tcPr>
          <w:p>
            <w:pPr>
              <w:pStyle w:val="TableContents"/>
              <w:spacing w:lineRule="auto" w:line="252" w:before="0" w:after="0"/>
              <w:ind w:left="0" w:right="0" w:firstLine="100"/>
              <w:jc w:val="right"/>
              <w:rPr/>
            </w:pPr>
            <w:r>
              <w:rPr/>
              <w:t> </w:t>
            </w:r>
          </w:p>
        </w:tc>
      </w:tr>
      <w:tr>
        <w:trPr/>
        <w:tc>
          <w:tcPr>
            <w:tcW w:w="33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(147,180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(100,064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(49,616</w:t>
            </w:r>
          </w:p>
        </w:tc>
        <w:tc>
          <w:tcPr>
            <w:tcW w:w="31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33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(142,117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(234,233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(101,969</w:t>
            </w:r>
          </w:p>
        </w:tc>
        <w:tc>
          <w:tcPr>
            <w:tcW w:w="311" w:type="dxa"/>
            <w:tcBorders/>
            <w:shd w:fill="auto" w:val="cle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339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294,179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422,776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98,658</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change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4,882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88,479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(52,927</w:t>
            </w:r>
          </w:p>
        </w:tc>
        <w:tc>
          <w:tcPr>
            <w:tcW w:w="3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i/>
          <w:sz w:val="20"/>
        </w:rPr>
        <w:t>Cash used in operating activities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During the year ended December 31, 2021, cash used in operating activities of $147.2 million was attributable to a net loss of $187.1 million partially offset by a net change of $31.2 million in non-cash charges and by net change of $8.7 million in our operating assets and liabilities. The non-cash charges primarily consisted of stock-based compensation expense of $20.7 million, depreciation and amortization of $4.2 million, and amortization of operating lease right-of-use asset of $3.2 million. The change in operating assets and liabilities was primarily due to $11.0 million increase in accrued expenses and accounts payable partially offset by $1.7 million decrease in deferred revenue associated with the Sanofi Agreement and $1.5 million decrease in operating lease liability.</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During the year ended December 31, 2020, cash used in operating activities of $100.1 million was attributable to a net loss of $108.2 million and a net change of $8.3 million in our operating assets and liabilities, partially offset by a net change of $16.4 million in non-cash charges. The non-cash charges primarily consisted of stock-based compensation expense of $8.9 million, depreciation and amortization of $2.6 million, and amortization of operating lease right-of-use asset of $2.9 million. The change in operating assets and liabilities was primarily due to a $11.3 million decrease in deferred revenue associated with the Sanofi Agreement partially offset by a $4.9 million increase in accrued expenses and other current assets.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84</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During the year ended December 31, 2019, cash used in operating activities of $49.6 million was attributable to a net loss of $47.7 million and a net change of $8.8 million in our operating assets and liabilities, partially offset by a net change of $6.9 million in non-cash charges. The non-cash charges consisted of depreciation and amortization of $2.9 million, stock-based compensation expense of $3.2 million, a loss on disposal of held for sale assets of $0.6 million and a loss on disposal of property and equipment of $0.2 million. The change in operating assets and liabilities was primarily due to a $13.4 million decrease in deferred revenue associated with the Sanofi Agreement, a $4.4 million decrease in deferred tax liability related to the net change in valuation allowance resulting from the Warp Drive acquisition, a $1.4 million increase in receivable from a related party resulting from the Sanofi Agreement and a $0.5 million increase in prepaid expenses and other current assets primarily resulting from the timing of prepayments made for research and development activities, partially offset by a $11.3 million increase in accounts payable and accrued liabilities resulting from increases in spend for research and development activities.</w:t>
      </w:r>
    </w:p>
    <w:p>
      <w:pPr>
        <w:pStyle w:val="TextBody"/>
        <w:spacing w:lineRule="auto" w:line="273" w:before="200" w:after="0"/>
        <w:jc w:val="left"/>
        <w:rPr>
          <w:rFonts w:ascii="Times New Roman" w:hAnsi="Times New Roman"/>
          <w:sz w:val="20"/>
        </w:rPr>
      </w:pPr>
      <w:r>
        <w:rPr>
          <w:rFonts w:ascii="Times New Roman" w:hAnsi="Times New Roman"/>
          <w:b/>
          <w:i/>
          <w:sz w:val="20"/>
        </w:rPr>
        <w:t>Cash used in investing activities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During the year ended December 31, 2021, cash used in investing activities of $142.1 million, was primarily comprised of purchases of marketable securities of $671.3 million and purchases of property and equipment of $6.5 million, offset by cash provided by maturities of marketable securities of $526.8 million and sale of marketable securities of $9.0 million.</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During the year ended December 31, 2020, cash used in investing activities of $234.2 million, was primarily comprised of purchases of marketable securities of $544.1 million and purchases of property and equipment of $2.9 million, partially offset by cash provided by maturities of marketable securities of $309.8 million and sale of marketable securities of $3.0 million.</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During the year ended December 31, 2019, cash used in investing activities of $102.0 million, was primarily comprised of purchases of marketable securities of $172.3 million and purchases of property and equipment of $2.5 million, partially offset by cash provided by maturities of marketable securities of $55.5 million; sales of marketable securities of $11.2 million, proceeds from sale of held for sale assets of $6.0 million; and proceeds from sales of property and equipment of $0.2 million.</w:t>
      </w:r>
    </w:p>
    <w:p>
      <w:pPr>
        <w:pStyle w:val="TextBody"/>
        <w:spacing w:lineRule="auto" w:line="273" w:before="200" w:after="0"/>
        <w:jc w:val="left"/>
        <w:rPr>
          <w:rFonts w:ascii="Times New Roman" w:hAnsi="Times New Roman"/>
          <w:sz w:val="20"/>
        </w:rPr>
      </w:pPr>
      <w:r>
        <w:rPr>
          <w:rFonts w:ascii="Times New Roman" w:hAnsi="Times New Roman"/>
          <w:b/>
          <w:i/>
          <w:sz w:val="20"/>
        </w:rPr>
        <w:t>Cash provided by financing activities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During the year ended December 31, 2021, cash provided by financing activities of $294.2 million was comprised of $281.1 million in net proceeds from the issuance of common stock related to our public offering in February 2021, $10.1 million in net proceeds from the issuance of common stock under our ATM facility, $1.9 million in proceeds from the issuance of common stock under the employee stock purchase plan and $ 1.5 million in proceeds from the issuance of common stock upon the exercise of stock options.</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During the year ended December 31, 2020, cash provided by financing activities of $422.8 million was comprised of $420.1 million in net proceeds from the issuance of common stock related to our IPO in February 2020 and our public offering in July 2020, $1.9 million in proceeds from the issuance of common stock upon the exercise of stock options and $0.8 million in proceeds from the issuance of common stock under the employee stock purchase plan.</w:t>
      </w:r>
    </w:p>
    <w:p>
      <w:pPr>
        <w:pStyle w:val="TextBody"/>
        <w:spacing w:lineRule="auto" w:line="273" w:before="200" w:after="0"/>
        <w:jc w:val="left"/>
        <w:rPr>
          <w:rFonts w:ascii="Times New Roman" w:hAnsi="Times New Roman"/>
          <w:sz w:val="20"/>
        </w:rPr>
      </w:pPr>
      <w:r>
        <w:rPr>
          <w:rFonts w:ascii="Times New Roman" w:hAnsi="Times New Roman"/>
          <w:b w:val="false"/>
          <w:sz w:val="20"/>
        </w:rPr>
        <w:t>During the year ended December 31, 2019, cash provided by financing activities of $98.7 million was comprised primarily of $100.0 million in net cash proceeds received from the issuance of our Series C redeemable convertible preferred stock and $0.3 million in proceeds from the issuance of common stock upon the exercise of stock options; partially offset by $1.6 million in payments of deferred offering costs related to the IPO which closed in February 2020.</w:t>
      </w:r>
      <w:r>
        <w:rPr>
          <w:rFonts w:ascii="Times New Roman" w:hAnsi="Times New Roman"/>
          <w:sz w:val="20"/>
        </w:rPr>
        <w:t xml:space="preserve"> </w:t>
      </w:r>
    </w:p>
    <w:p>
      <w:pPr>
        <w:pStyle w:val="TextBody"/>
        <w:spacing w:lineRule="auto" w:line="252" w:before="200" w:after="0"/>
        <w:jc w:val="left"/>
        <w:rPr>
          <w:rFonts w:ascii="Times New Roman" w:hAnsi="Times New Roman"/>
          <w:sz w:val="20"/>
        </w:rPr>
      </w:pPr>
      <w:r>
        <w:rPr>
          <w:rFonts w:ascii="Times New Roman" w:hAnsi="Times New Roman"/>
          <w:b/>
          <w:sz w:val="20"/>
        </w:rPr>
        <w:t>Contractual obligations and commitments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have contractual obligations related to office and laboratory space leases in Redwood City, California and Cambridge, Massachusetts, described in “Note 7. Commitments and contingencies” in the “Notes to Consolidated Financial Statements” contained in Part II, Item 8 of this Annual Report on Form 10-K.</w:t>
      </w:r>
      <w:r>
        <w:rPr>
          <w:rFonts w:ascii="Times New Roman" w:hAnsi="Times New Roman"/>
          <w:sz w:val="20"/>
        </w:rPr>
        <w:t xml:space="preserve"> </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We enter into agreements in the normal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Off-balance sheet arrangements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have not entered into any off-balance sheet arrangements, as defined in Item 303 of Regulation S-K.</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85</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sz w:val="20"/>
        </w:rPr>
        <w:t>Indemnification agreements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r>
        <w:rPr>
          <w:rFonts w:ascii="Times New Roman" w:hAnsi="Times New Roman"/>
          <w:sz w:val="20"/>
        </w:rPr>
        <w:t xml:space="preserve"> </w:t>
      </w:r>
    </w:p>
    <w:p>
      <w:pPr>
        <w:pStyle w:val="TextBody"/>
        <w:spacing w:lineRule="auto" w:line="273" w:before="200" w:after="0"/>
        <w:jc w:val="left"/>
        <w:rPr>
          <w:rFonts w:ascii="Times New Roman" w:hAnsi="Times New Roman"/>
          <w:b/>
          <w:sz w:val="20"/>
        </w:rPr>
      </w:pPr>
      <w:r>
        <w:rPr>
          <w:rFonts w:ascii="Times New Roman" w:hAnsi="Times New Roman"/>
          <w:b/>
          <w:sz w:val="20"/>
        </w:rPr>
        <w:t>Critical accounting policies, significant judgments and use of estimate</w:t>
      </w:r>
    </w:p>
    <w:p>
      <w:pPr>
        <w:pStyle w:val="TextBody"/>
        <w:spacing w:lineRule="auto" w:line="273" w:before="200" w:after="0"/>
        <w:jc w:val="left"/>
        <w:rPr>
          <w:rFonts w:ascii="Times New Roman" w:hAnsi="Times New Roman"/>
          <w:sz w:val="20"/>
        </w:rPr>
      </w:pPr>
      <w:r>
        <w:rPr>
          <w:rFonts w:ascii="Times New Roman" w:hAnsi="Times New Roman"/>
          <w:b w:val="false"/>
          <w:sz w:val="20"/>
        </w:rPr>
        <w:t>Our management’s discussion and analysis of our financial condition and results of operations is based on our consolidated financial statements, which have been prepared in accordance with United States generally accepted accounting principles, or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Revenue recognition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recognize revenue is accordance with Accounting Standards Codification Topic 606, Revenue from Contracts with Customers (ASC 606). Under ASC 606, an entity recognizes revenue when its customer obtains control of promised goods or services, in an amount that reflects the consideration which such entity expects to receive in exchange for those goods or services. In determining the appropriate amount of revenue to be recognized as we fulfill our obligations under arrangements, we perform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enter into collaboration agreements under which we may obtain upfront license fees, research and development funding, and development, regulatory and commercial milestone payments and royalty payments. Our performance obligations under these arrangements may include licenses of intellectual property, sales and distribution rights, research and development services, delivery of manufactured product and/or participation on joint steering committees.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Licenses of intellectual property:</w:t>
      </w:r>
      <w:r>
        <w:rPr>
          <w:rFonts w:ascii="Times New Roman" w:hAnsi="Times New Roman"/>
          <w:sz w:val="20"/>
        </w:rPr>
        <w:t xml:space="preserve"> </w:t>
      </w:r>
      <w:r>
        <w:rPr>
          <w:rFonts w:ascii="Times New Roman" w:hAnsi="Times New Roman"/>
          <w:b w:val="false"/>
          <w:sz w:val="20"/>
        </w:rPr>
        <w:t>If the license to our intellectual property is determined to be distinct from the other performance obligations identified in the arrangement, we recognize revenue from upfront license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We evaluate the measure of proportional performance each reporting period and, if necessary, adjust the measure of performance and related revenue recognition.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Research, development and regulatory milestone payments:</w:t>
      </w:r>
      <w:r>
        <w:rPr>
          <w:rFonts w:ascii="Times New Roman" w:hAnsi="Times New Roman"/>
          <w:sz w:val="20"/>
        </w:rPr>
        <w:t xml:space="preserve"> </w:t>
      </w:r>
      <w:r>
        <w:rPr>
          <w:rFonts w:ascii="Times New Roman" w:hAnsi="Times New Roman"/>
          <w:b w:val="false"/>
          <w:sz w:val="20"/>
        </w:rPr>
        <w:t>At the inception of each arrangement that includes research, development, or regulatory milestone payments, we evaluate 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i/>
          <w:sz w:val="20"/>
        </w:rPr>
        <w:t>Sales-based milestones and royalties:</w:t>
      </w:r>
      <w:r>
        <w:rPr>
          <w:rFonts w:ascii="Times New Roman" w:hAnsi="Times New Roman"/>
          <w:sz w:val="20"/>
        </w:rPr>
        <w:t xml:space="preserve"> </w:t>
      </w:r>
      <w:r>
        <w:rPr>
          <w:rFonts w:ascii="Times New Roman" w:hAnsi="Times New Roman"/>
          <w:b w:val="false"/>
          <w:sz w:val="20"/>
        </w:rPr>
        <w:t>For arrangements that include sales-based milestone or royalty payments based on the level of sales, and in which the license is deemed to be the predominant item to which the sales-based milestone or royalties relate to, we recognize revenue in the period in which the sales-based milestone is achieved and in the period in which the sales associated with</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86</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sz w:val="20"/>
        </w:rPr>
      </w:pPr>
      <w:r>
        <w:rPr>
          <w:rFonts w:ascii="Times New Roman" w:hAnsi="Times New Roman"/>
          <w:b w:val="false"/>
          <w:sz w:val="20"/>
        </w:rPr>
        <w:t>the royalty occur. To date, we have not recognized any sales-based milestone or royalty revenue resulting from our collaboration arrangements.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transaction price for each collaboration agreement is determined based on the amount of consideration we expect to be entitled for satisfying all performance obligations within the agreement. Significant judgment may be required in determining the amount of variable consideration to be included in the transaction price. We use the most likely amount method to determine variable consideration and will re-evaluate the transaction price in each reporting period and as uncertain events are resolved or other changes in circumstances occur.</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Revenue is recognized based on actual costs incurred as a percentage of total estimated costs to be incurred over the performance obligation as we fulfill our performance obligations. A cost-based input method of revenue recognition requires management to make estimates of costs to complete our performance obligations. In making such estimates, significant judgment is required to evaluate assumptions related to cost estimates. The cumulative effect of revisions to estimated costs to fulfill our performance obligations will be recorded in the period in which changes are identified and amounts can be reasonably estimated.</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Accrued research and development expenses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record accrued expenses for estimated preclinical studies and clinical trial expenses. Estimates are based on the services performed pursuant to contracts with research institutions and contract research organizations and clinical manufacturing organizations that conduct and manage preclinical studies and clinical trials on our behalf based on actual time and expenses incurred by them.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 of these services, our actual expenses could differ from our estimates. To date, we have not experienced significant changes in our estimates of preclinical studies and clinical trial accruals.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i/>
          <w:sz w:val="20"/>
        </w:rPr>
        <w:t>Stock-based compensation</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maintain an equity incentive plan as a long-term incentive for employees, consultants and members of our board of directors. The plan allows for the issuance of non-statutory options, or NSOs, incentive stock options, or ISOs, restricted stock unit awards, or RSUs to employees and NSOs and RSUs to nonemployees.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Stock-based compensation is measured using estimated grant date fair value and recognized as compensation expense over the service period in which the awards are expected to vest. The grant date fair value of an RSU award is based on our stock price on the date of grant. For options, we estimate the grant date fair value, and the resulting stock-based compensation, using the Black-Scholes option-pricing model, and we use the straight-line method for expense attribution. The Black-Scholes model requires us to make assumptions and judgments about the variables used in the calculations, including the expected term (weighted-average period of time that the options granted are expected to be outstanding), the expected volatility of our common stock, the related risk-free interest rate and the expected dividend. We have elected to recognize forfeitures of stock-based awards as they occur.</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The Black-Scholes option-pricing model requires the use of highly subjective assumptions to determine the fair value of stock-based awards. These assumptions include:</w:t>
      </w:r>
      <w:r>
        <w:rPr>
          <w:rFonts w:ascii="Times New Roman" w:hAnsi="Times New Roman"/>
          <w:sz w:val="20"/>
        </w:rPr>
        <w:t xml:space="preserve"> </w:t>
      </w:r>
    </w:p>
    <w:p>
      <w:pPr>
        <w:pStyle w:val="TextBody"/>
        <w:spacing w:lineRule="auto" w:line="247" w:before="120" w:after="0"/>
        <w:jc w:val="left"/>
        <w:rPr/>
      </w:pPr>
      <w:r>
        <w:rPr/>
        <w:t>•</w:t>
      </w:r>
    </w:p>
    <w:p>
      <w:pPr>
        <w:pStyle w:val="TextBody"/>
        <w:spacing w:lineRule="auto" w:line="247" w:before="120" w:after="0"/>
        <w:jc w:val="left"/>
        <w:rPr/>
      </w:pPr>
      <w:r>
        <w:rPr>
          <w:rFonts w:ascii="Times New Roman" w:hAnsi="Times New Roman"/>
          <w:b w:val="false"/>
          <w:i/>
          <w:sz w:val="20"/>
        </w:rPr>
        <w:t>Expected Term</w:t>
      </w:r>
      <w:r>
        <w:rPr/>
        <w:t xml:space="preserve">— </w:t>
      </w:r>
      <w:r>
        <w:rPr>
          <w:rFonts w:ascii="Times New Roman" w:hAnsi="Times New Roman"/>
          <w:b w:val="false"/>
          <w:sz w:val="20"/>
        </w:rPr>
        <w:t xml:space="preserve">The expected term is calculated using the simplified method,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w:t>
      </w:r>
    </w:p>
    <w:p>
      <w:pPr>
        <w:pStyle w:val="TextBody"/>
        <w:spacing w:lineRule="auto" w:line="247" w:before="120" w:after="0"/>
        <w:jc w:val="left"/>
        <w:rPr/>
      </w:pPr>
      <w:r>
        <w:rPr/>
        <w:t>•</w:t>
      </w:r>
    </w:p>
    <w:p>
      <w:pPr>
        <w:pStyle w:val="TextBody"/>
        <w:spacing w:lineRule="auto" w:line="247" w:before="120" w:after="0"/>
        <w:jc w:val="left"/>
        <w:rPr/>
      </w:pPr>
      <w:r>
        <w:rPr>
          <w:rFonts w:ascii="Times New Roman" w:hAnsi="Times New Roman"/>
          <w:b w:val="false"/>
          <w:i/>
          <w:sz w:val="20"/>
        </w:rPr>
        <w:t>Expected Volatility</w:t>
      </w:r>
      <w:r>
        <w:rPr/>
        <w:t xml:space="preserve">— </w:t>
      </w:r>
      <w:r>
        <w:rPr>
          <w:rFonts w:ascii="Times New Roman" w:hAnsi="Times New Roman"/>
          <w:b w:val="false"/>
          <w:sz w:val="20"/>
        </w:rPr>
        <w:t xml:space="preserve">Given that we do not have sufficient trading history for our common stock, the expected volatility was estimated based on the average volatility of the Company and comparable publicly traded biotechnology companies over a period equal to the expected term of the stock option grants. The comparable companies were chosen based on their similar size, stage in the life cycle or area of specialty. </w:t>
      </w:r>
    </w:p>
    <w:p>
      <w:pPr>
        <w:pStyle w:val="TextBody"/>
        <w:spacing w:lineRule="auto" w:line="247" w:before="120" w:after="0"/>
        <w:jc w:val="left"/>
        <w:rPr/>
      </w:pPr>
      <w:r>
        <w:rPr/>
        <w:t>•</w:t>
      </w:r>
    </w:p>
    <w:p>
      <w:pPr>
        <w:pStyle w:val="TextBody"/>
        <w:spacing w:lineRule="auto" w:line="247" w:before="120" w:after="0"/>
        <w:jc w:val="left"/>
        <w:rPr/>
      </w:pPr>
      <w:r>
        <w:rPr>
          <w:rFonts w:ascii="Times New Roman" w:hAnsi="Times New Roman"/>
          <w:b w:val="false"/>
          <w:i/>
          <w:sz w:val="20"/>
        </w:rPr>
        <w:t>Risk-Free Interest Rate</w:t>
      </w:r>
      <w:r>
        <w:rPr/>
        <w:t>—</w:t>
      </w:r>
      <w:r>
        <w:rPr>
          <w:rFonts w:ascii="Times New Roman" w:hAnsi="Times New Roman"/>
          <w:b w:val="false"/>
          <w:sz w:val="20"/>
        </w:rPr>
        <w:t xml:space="preserve">The risk-free interest rate is based on the U.S. Treasury zero coupon issues in effect at the time of grant for periods corresponding with the expected term of the option. </w:t>
      </w:r>
    </w:p>
    <w:p>
      <w:pPr>
        <w:pStyle w:val="TextBody"/>
        <w:spacing w:lineRule="auto" w:line="247" w:before="120" w:after="0"/>
        <w:jc w:val="left"/>
        <w:rPr/>
      </w:pPr>
      <w:r>
        <w:rPr/>
        <w:t>•</w:t>
      </w:r>
    </w:p>
    <w:p>
      <w:pPr>
        <w:pStyle w:val="TextBody"/>
        <w:spacing w:lineRule="auto" w:line="247" w:before="120" w:after="283"/>
        <w:jc w:val="left"/>
        <w:rPr/>
      </w:pPr>
      <w:r>
        <w:rPr>
          <w:rFonts w:ascii="Times New Roman" w:hAnsi="Times New Roman"/>
          <w:b w:val="false"/>
          <w:i/>
          <w:sz w:val="20"/>
        </w:rPr>
        <w:t>Expected Dividend</w:t>
      </w:r>
      <w:r>
        <w:rPr/>
        <w:t>—</w:t>
      </w:r>
      <w:r>
        <w:rPr>
          <w:rFonts w:ascii="Times New Roman" w:hAnsi="Times New Roman"/>
          <w:b w:val="false"/>
          <w:sz w:val="20"/>
        </w:rPr>
        <w:t xml:space="preserve">We have never paid dividends on our common stock and have no plans to pay dividends on our common stock. Therefore, we used an expected dividend yield of zero.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87</w:t>
      </w:r>
    </w:p>
    <w:p>
      <w:pPr>
        <w:pStyle w:val="HorizontalLine"/>
        <w:rPr/>
      </w:pPr>
      <w:r>
        <w:rPr/>
      </w:r>
    </w:p>
    <w:p>
      <w:pPr>
        <w:pStyle w:val="TextBody"/>
        <w:spacing w:lineRule="auto" w:line="273" w:before="0" w:after="0"/>
        <w:jc w:val="left"/>
        <w:rPr/>
      </w:pPr>
      <w:r>
        <w:rPr/>
        <w:t> </w:t>
      </w:r>
    </w:p>
    <w:p>
      <w:pPr>
        <w:pStyle w:val="TextBody"/>
        <w:spacing w:lineRule="auto" w:line="273" w:before="200" w:after="0"/>
        <w:jc w:val="left"/>
        <w:rPr>
          <w:rFonts w:ascii="Times New Roman" w:hAnsi="Times New Roman"/>
          <w:b/>
          <w:sz w:val="20"/>
        </w:rPr>
      </w:pPr>
      <w:r>
        <w:rPr>
          <w:rFonts w:ascii="Times New Roman" w:hAnsi="Times New Roman"/>
          <w:b/>
          <w:sz w:val="20"/>
        </w:rPr>
        <w:t>Recent accounting pronouncements</w:t>
      </w:r>
    </w:p>
    <w:p>
      <w:pPr>
        <w:pStyle w:val="TextBody"/>
        <w:spacing w:lineRule="auto" w:line="273" w:before="200" w:after="0"/>
        <w:jc w:val="left"/>
        <w:rPr>
          <w:rFonts w:ascii="Times New Roman" w:hAnsi="Times New Roman"/>
          <w:sz w:val="20"/>
        </w:rPr>
      </w:pPr>
      <w:r>
        <w:rPr>
          <w:rFonts w:ascii="Times New Roman" w:hAnsi="Times New Roman"/>
          <w:b w:val="false"/>
          <w:sz w:val="20"/>
        </w:rPr>
        <w:t>For a description of the expected impact of recent accounting pronouncements, see “Note 2. Summary of significant accounting policies” in the “Notes to Consolidated Financial Statements” contained in Part II, Item 8 of this Annual Report on Form 10-K.</w:t>
      </w:r>
      <w:r>
        <w:rPr>
          <w:rFonts w:ascii="Times New Roman" w:hAnsi="Times New Roman"/>
          <w:sz w:val="20"/>
        </w:rPr>
        <w:t xml:space="preserve"> </w:t>
      </w:r>
    </w:p>
    <w:p>
      <w:pPr>
        <w:pStyle w:val="TextBody"/>
        <w:spacing w:lineRule="auto" w:line="252" w:before="200" w:after="0"/>
        <w:jc w:val="left"/>
        <w:rPr>
          <w:rFonts w:ascii="Times New Roman" w:hAnsi="Times New Roman"/>
          <w:sz w:val="20"/>
        </w:rPr>
      </w:pPr>
      <w:bookmarkStart w:id="14" w:name="item_7a_quantitative_qualitative_disclos"/>
      <w:bookmarkEnd w:id="14"/>
      <w:r>
        <w:rPr>
          <w:rFonts w:ascii="Times New Roman" w:hAnsi="Times New Roman"/>
          <w:b/>
          <w:sz w:val="20"/>
        </w:rPr>
        <w:t>Item 7A. Quantitative and Qualitative Disclosures About Market Risk.</w:t>
      </w:r>
      <w:r>
        <w:rPr>
          <w:rFonts w:ascii="Times New Roman" w:hAnsi="Times New Roman"/>
          <w:sz w:val="20"/>
        </w:rPr>
        <w:t xml:space="preserve"> </w:t>
      </w:r>
    </w:p>
    <w:p>
      <w:pPr>
        <w:pStyle w:val="TextBody"/>
        <w:spacing w:lineRule="auto" w:line="252" w:before="200" w:after="0"/>
        <w:jc w:val="left"/>
        <w:rPr>
          <w:rFonts w:ascii="Times New Roman" w:hAnsi="Times New Roman"/>
          <w:sz w:val="20"/>
        </w:rPr>
      </w:pPr>
      <w:r>
        <w:rPr>
          <w:rFonts w:ascii="Times New Roman" w:hAnsi="Times New Roman"/>
          <w:b/>
          <w:i/>
          <w:sz w:val="20"/>
        </w:rPr>
        <w:t>Interest rate risk</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invested in compliance with our policy.</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We held cash, cash equivalents and marketable securities of $577.1 million and $440.7 million as of December 31, 2021 and December 31, 2020, which consisted of bank deposits, money market funds, U.S. government debt securities, U.S. government agency bonds, commercial paper and corporate bonds. Such interest-earning instruments carry a degree of interest rate risk; however, historical fluctuations in interest income have not been significant for us. Due to the short-term maturities of our cash equivalents and marketable securities, an immediate one percent change in interest rates would not have a material effect on the fair value of our cash equivalents and marketable securities.</w:t>
      </w:r>
      <w:r>
        <w:rPr>
          <w:rFonts w:ascii="Times New Roman" w:hAnsi="Times New Roman"/>
          <w:sz w:val="20"/>
        </w:rPr>
        <w:t xml:space="preserve"> </w:t>
      </w:r>
    </w:p>
    <w:p>
      <w:pPr>
        <w:pStyle w:val="TextBody"/>
        <w:spacing w:lineRule="auto" w:line="252" w:before="200" w:after="0"/>
        <w:jc w:val="left"/>
        <w:rPr>
          <w:rFonts w:ascii="Times New Roman" w:hAnsi="Times New Roman"/>
          <w:sz w:val="20"/>
        </w:rPr>
      </w:pPr>
      <w:r>
        <w:rPr>
          <w:rFonts w:ascii="Times New Roman" w:hAnsi="Times New Roman"/>
          <w:b/>
          <w:i/>
          <w:sz w:val="20"/>
        </w:rPr>
        <w:t>Foreign currency risk</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Times New Roman" w:hAnsi="Times New Roman"/>
          <w:b w:val="false"/>
          <w:sz w:val="20"/>
        </w:rPr>
        <w:t>Our expenses are generally denominated in U.S. dollars. However, we have entered into a limited number of contracts with vendors for research and development services with payments denominated in foreign currencies, including the Euro, British Pound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w:t>
      </w:r>
      <w:r>
        <w:rPr>
          <w:rFonts w:ascii="Times New Roman" w:hAnsi="Times New Roman"/>
          <w:sz w:val="20"/>
        </w:rPr>
        <w:t xml:space="preserve"> </w:t>
      </w:r>
    </w:p>
    <w:p>
      <w:pPr>
        <w:pStyle w:val="TextBody"/>
        <w:spacing w:lineRule="auto" w:line="252"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bookmarkStart w:id="15" w:name="item_8_financial_statements_supplementar"/>
      <w:bookmarkEnd w:id="15"/>
      <w:r>
        <w:rPr>
          <w:rFonts w:ascii="Times New Roman" w:hAnsi="Times New Roman"/>
          <w:b/>
          <w:sz w:val="20"/>
        </w:rPr>
        <w:t>Item 8. Financial Statements and Supplementary Data.</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16" w:name="revolution_medicines_inc"/>
      <w:bookmarkEnd w:id="16"/>
      <w:r>
        <w:rPr>
          <w:rFonts w:ascii="Times New Roman" w:hAnsi="Times New Roman"/>
          <w:b/>
          <w:sz w:val="20"/>
        </w:rPr>
        <w:t>REVOLUTION MEDICINES, INC</w:t>
      </w:r>
    </w:p>
    <w:p>
      <w:pPr>
        <w:pStyle w:val="TextBody"/>
        <w:spacing w:lineRule="auto" w:line="273" w:before="0" w:after="0"/>
        <w:jc w:val="center"/>
        <w:rPr>
          <w:rFonts w:ascii="Times New Roman" w:hAnsi="Times New Roman"/>
          <w:b/>
          <w:sz w:val="20"/>
        </w:rPr>
      </w:pPr>
      <w:bookmarkStart w:id="17" w:name="index_to_consolidated_financial_statemen"/>
      <w:bookmarkEnd w:id="17"/>
      <w:r>
        <w:rPr>
          <w:rFonts w:ascii="Times New Roman" w:hAnsi="Times New Roman"/>
          <w:b/>
          <w:sz w:val="20"/>
        </w:rPr>
        <w:t>INDEX TO CONSOLIDATED FINANCIAL STATEMENTS</w:t>
      </w:r>
    </w:p>
    <w:p>
      <w:pPr>
        <w:pStyle w:val="TextBody"/>
        <w:spacing w:lineRule="auto" w:line="273" w:before="0" w:after="0"/>
        <w:jc w:val="center"/>
        <w:rPr/>
      </w:pPr>
      <w:r>
        <w:rPr/>
        <w:t> </w:t>
      </w:r>
    </w:p>
    <w:tbl>
      <w:tblPr>
        <w:tblW w:w="9047" w:type="dxa"/>
        <w:jc w:val="left"/>
        <w:tblInd w:w="0" w:type="dxa"/>
        <w:tblCellMar>
          <w:top w:w="28" w:type="dxa"/>
          <w:left w:w="28" w:type="dxa"/>
          <w:bottom w:w="28" w:type="dxa"/>
          <w:right w:w="28" w:type="dxa"/>
        </w:tblCellMar>
      </w:tblPr>
      <w:tblGrid>
        <w:gridCol w:w="8536"/>
        <w:gridCol w:w="511"/>
      </w:tblGrid>
      <w:tr>
        <w:trPr/>
        <w:tc>
          <w:tcPr>
            <w:tcW w:w="853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8536" w:type="dxa"/>
            <w:tcBorders/>
            <w:shd w:fill="auto" w:val="clear"/>
            <w:vAlign w:val="center"/>
          </w:tcPr>
          <w:p>
            <w:pPr>
              <w:pStyle w:val="TableContents"/>
              <w:spacing w:lineRule="auto" w:line="252" w:before="0" w:after="0"/>
              <w:ind w:left="0" w:right="0" w:hanging="0"/>
              <w:jc w:val="left"/>
              <w:rPr/>
            </w:pPr>
            <w:r>
              <w:rPr/>
              <w:t> </w:t>
            </w:r>
          </w:p>
        </w:tc>
        <w:tc>
          <w:tcPr>
            <w:tcW w:w="51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Page</w:t>
            </w:r>
          </w:p>
        </w:tc>
      </w:tr>
      <w:tr>
        <w:trPr/>
        <w:tc>
          <w:tcPr>
            <w:tcW w:w="8536" w:type="dxa"/>
            <w:tcBorders/>
            <w:shd w:fill="auto" w:val="clear"/>
            <w:vAlign w:val="center"/>
          </w:tcPr>
          <w:p>
            <w:pPr>
              <w:pStyle w:val="TableContents"/>
              <w:spacing w:lineRule="auto" w:line="252" w:before="0" w:after="0"/>
              <w:ind w:left="0" w:right="0" w:hanging="0"/>
              <w:jc w:val="left"/>
              <w:rPr/>
            </w:pPr>
            <w:hyperlink w:anchor="report_of_independent">
              <w:bookmarkStart w:id="18" w:name="report_of_independent_registered"/>
              <w:bookmarkEnd w:id="18"/>
              <w:r>
                <w:rPr>
                  <w:rStyle w:val="InternetLink"/>
                  <w:rFonts w:ascii="Times New Roman" w:hAnsi="Times New Roman"/>
                  <w:b w:val="false"/>
                  <w:sz w:val="20"/>
                  <w:u w:val="single"/>
                </w:rPr>
                <w:t>Report of Independent Registered Public Accounting Firm (PCAOB ID 238)</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balance_sheets">
              <w:r>
                <w:rPr>
                  <w:rStyle w:val="InternetLink"/>
                  <w:rFonts w:ascii="Times New Roman" w:hAnsi="Times New Roman"/>
                  <w:b w:val="false"/>
                  <w:sz w:val="20"/>
                  <w:u w:val="single"/>
                </w:rPr>
                <w:t>Consolidated Balance Sheets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statements_operations">
              <w:r>
                <w:rPr>
                  <w:rStyle w:val="InternetLink"/>
                  <w:rFonts w:ascii="Times New Roman" w:hAnsi="Times New Roman"/>
                  <w:b w:val="false"/>
                  <w:sz w:val="20"/>
                  <w:u w:val="single"/>
                </w:rPr>
                <w:t>Consolidated Statements of Operations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statements_comprehensive_lo">
              <w:r>
                <w:rPr>
                  <w:rStyle w:val="InternetLink"/>
                  <w:rFonts w:ascii="Times New Roman" w:hAnsi="Times New Roman"/>
                  <w:b w:val="false"/>
                  <w:sz w:val="20"/>
                  <w:u w:val="single"/>
                </w:rPr>
                <w:t>Consolidated Statements of Comprehensive Loss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94</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statements_stockhoders_equi">
              <w:r>
                <w:rPr>
                  <w:rStyle w:val="InternetLink"/>
                  <w:rFonts w:ascii="Times New Roman" w:hAnsi="Times New Roman"/>
                  <w:b w:val="false"/>
                  <w:sz w:val="20"/>
                  <w:u w:val="single"/>
                </w:rPr>
                <w:t>Consolidated Statements of Redeemable Convertible Preferred Stock and Stockholders’ Equity (Deficit</w:t>
              </w:r>
            </w:hyperlink>
            <w:r>
              <w:rPr>
                <w:rFonts w:ascii="Times New Roman" w:hAnsi="Times New Roman"/>
                <w:b w:val="false"/>
                <w:sz w:val="20"/>
                <w:u w:val="single"/>
              </w:rPr>
              <w:t>)</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95</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statements_cash_flows">
              <w:r>
                <w:rPr>
                  <w:rStyle w:val="InternetLink"/>
                  <w:rFonts w:ascii="Times New Roman" w:hAnsi="Times New Roman"/>
                  <w:b w:val="false"/>
                  <w:sz w:val="20"/>
                  <w:u w:val="single"/>
                </w:rPr>
                <w:t>Consolidated Statements of Cash Flows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w:t>
            </w:r>
          </w:p>
        </w:tc>
      </w:tr>
      <w:tr>
        <w:trPr/>
        <w:tc>
          <w:tcPr>
            <w:tcW w:w="8536" w:type="dxa"/>
            <w:tcBorders/>
            <w:shd w:fill="auto" w:val="clear"/>
            <w:vAlign w:val="center"/>
          </w:tcPr>
          <w:p>
            <w:pPr>
              <w:pStyle w:val="TableContents"/>
              <w:spacing w:lineRule="auto" w:line="252" w:before="0" w:after="0"/>
              <w:ind w:left="0" w:right="0" w:hanging="0"/>
              <w:jc w:val="left"/>
              <w:rPr/>
            </w:pPr>
            <w:hyperlink w:anchor="notes_to_consolidated_financial_statemen">
              <w:r>
                <w:rPr>
                  <w:rStyle w:val="InternetLink"/>
                  <w:rFonts w:ascii="Times New Roman" w:hAnsi="Times New Roman"/>
                  <w:b w:val="false"/>
                  <w:sz w:val="20"/>
                  <w:u w:val="single"/>
                </w:rPr>
                <w:t>Notes to Consolidated Financial Statements</w:t>
              </w:r>
            </w:hyperlink>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89</w:t>
      </w:r>
    </w:p>
    <w:p>
      <w:pPr>
        <w:pStyle w:val="HorizontalLine"/>
        <w:rPr/>
      </w:pPr>
      <w:r>
        <w:rPr/>
      </w:r>
    </w:p>
    <w:p>
      <w:pPr>
        <w:pStyle w:val="TextBody"/>
        <w:spacing w:lineRule="auto" w:line="273" w:before="0" w:after="0"/>
        <w:jc w:val="left"/>
        <w:rPr/>
      </w:pPr>
      <w:r>
        <w:rPr/>
        <w:t> </w:t>
      </w:r>
    </w:p>
    <w:p>
      <w:pPr>
        <w:pStyle w:val="TextBody"/>
        <w:spacing w:lineRule="auto" w:line="273" w:before="0" w:after="200"/>
        <w:jc w:val="center"/>
        <w:rPr>
          <w:rFonts w:ascii="Times New Roman" w:hAnsi="Times New Roman"/>
          <w:sz w:val="20"/>
        </w:rPr>
      </w:pPr>
      <w:bookmarkStart w:id="19" w:name="report_of_independent"/>
      <w:bookmarkEnd w:id="19"/>
      <w:r>
        <w:rPr>
          <w:rFonts w:ascii="Times New Roman" w:hAnsi="Times New Roman"/>
          <w:b/>
          <w:sz w:val="20"/>
        </w:rPr>
        <w:t>Report of Independent</w:t>
      </w:r>
      <w:r>
        <w:rPr>
          <w:rFonts w:ascii="Times New Roman" w:hAnsi="Times New Roman"/>
          <w:sz w:val="20"/>
        </w:rPr>
        <w:t xml:space="preserve"> </w:t>
      </w:r>
      <w:r>
        <w:rPr>
          <w:rFonts w:ascii="Times New Roman" w:hAnsi="Times New Roman"/>
          <w:b/>
          <w:sz w:val="20"/>
        </w:rPr>
        <w:t>Registered Public Accounting Firm</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To the Board of Directors and Stockholders of Revolution Medicines, Inc.</w:t>
      </w:r>
    </w:p>
    <w:p>
      <w:pPr>
        <w:pStyle w:val="TextBody"/>
        <w:spacing w:lineRule="auto" w:line="273" w:before="360" w:after="0"/>
        <w:jc w:val="left"/>
        <w:rPr>
          <w:rFonts w:ascii="Times New Roman" w:hAnsi="Times New Roman"/>
          <w:b/>
          <w:i/>
          <w:sz w:val="20"/>
        </w:rPr>
      </w:pPr>
      <w:r>
        <w:rPr>
          <w:rFonts w:ascii="Times New Roman" w:hAnsi="Times New Roman"/>
          <w:b/>
          <w:i/>
          <w:sz w:val="20"/>
        </w:rPr>
        <w:t>Opinions on the Financial Statements and Internal Control over Financial Reporting</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We have audited the accompanying consolidated balance sheets of Revolution Medicines, Inc. and its subsidiary (the “Company”) as of December 31, 2021 and 2020, and the related consolidated statements of operations, of comprehensive loss, of redeemable convertible preferred stock and stockholders' equity (deficit)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w:t>
      </w:r>
      <w:r>
        <w:rPr>
          <w:rFonts w:ascii="Times New Roman" w:hAnsi="Times New Roman"/>
          <w:b w:val="false"/>
          <w:i/>
          <w:sz w:val="20"/>
        </w:rPr>
        <w:t xml:space="preserve">Internal Control - Integrated Framework </w:t>
      </w:r>
      <w:r>
        <w:rPr>
          <w:rFonts w:ascii="Times New Roman" w:hAnsi="Times New Roman"/>
          <w:b w:val="false"/>
          <w:sz w:val="20"/>
        </w:rPr>
        <w:t>(2013) issued by the Committee of Sponsoring Organizations of the Treadway Commission (COSO).</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Times New Roman" w:hAnsi="Times New Roman"/>
          <w:b w:val="false"/>
          <w:i/>
          <w:sz w:val="20"/>
        </w:rPr>
        <w:t>Internal Control - Integrated Framework</w:t>
      </w:r>
      <w:r>
        <w:rPr>
          <w:rFonts w:ascii="Times New Roman" w:hAnsi="Times New Roman"/>
          <w:sz w:val="20"/>
        </w:rPr>
        <w:t xml:space="preserve"> </w:t>
      </w:r>
      <w:r>
        <w:rPr>
          <w:rFonts w:ascii="Times New Roman" w:hAnsi="Times New Roman"/>
          <w:b w:val="false"/>
          <w:sz w:val="20"/>
        </w:rPr>
        <w:t>(2013) issued by the COSO.</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Change in Accounting Principle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As discussed in Note 2 to the consolidated financial statements, the Company changed the manner in which it accounts for leases in 2020.</w:t>
      </w:r>
    </w:p>
    <w:p>
      <w:pPr>
        <w:pStyle w:val="TextBody"/>
        <w:spacing w:lineRule="auto" w:line="273" w:before="360" w:after="0"/>
        <w:jc w:val="left"/>
        <w:rPr>
          <w:rFonts w:ascii="Times New Roman" w:hAnsi="Times New Roman"/>
          <w:b/>
          <w:i/>
          <w:sz w:val="20"/>
        </w:rPr>
      </w:pPr>
      <w:r>
        <w:rPr>
          <w:rFonts w:ascii="Times New Roman" w:hAnsi="Times New Roman"/>
          <w:b/>
          <w:i/>
          <w:sz w:val="20"/>
        </w:rPr>
        <w:t>Basis for Opinions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73" w:before="240" w:after="0"/>
        <w:jc w:val="left"/>
        <w:rPr>
          <w:rFonts w:ascii="Times New Roman" w:hAnsi="Times New Roman"/>
          <w:sz w:val="20"/>
        </w:rPr>
      </w:pPr>
      <w:r>
        <w:rPr>
          <w:rFonts w:ascii="Times New Roman" w:hAnsi="Times New Roman"/>
          <w:b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lineRule="auto" w:line="273" w:before="360" w:after="0"/>
        <w:jc w:val="left"/>
        <w:rPr>
          <w:rFonts w:ascii="Times New Roman" w:hAnsi="Times New Roman"/>
          <w:sz w:val="20"/>
        </w:rPr>
      </w:pPr>
      <w:r>
        <w:rPr>
          <w:rFonts w:ascii="Times New Roman" w:hAnsi="Times New Roman"/>
          <w:b/>
          <w:i/>
          <w:sz w:val="20"/>
        </w:rPr>
        <w:t>Definition and Limitations of Internal Control over Financial Reporting</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90</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73" w:before="360" w:after="0"/>
        <w:jc w:val="left"/>
        <w:rPr>
          <w:rFonts w:ascii="Times New Roman" w:hAnsi="Times New Roman"/>
          <w:b/>
          <w:i/>
          <w:sz w:val="20"/>
        </w:rPr>
      </w:pPr>
      <w:r>
        <w:rPr>
          <w:rFonts w:ascii="Times New Roman" w:hAnsi="Times New Roman"/>
          <w:b/>
          <w:i/>
          <w:sz w:val="20"/>
        </w:rPr>
        <w:t>Critical Audit Matters</w:t>
      </w:r>
    </w:p>
    <w:p>
      <w:pPr>
        <w:pStyle w:val="TextBody"/>
        <w:spacing w:lineRule="auto" w:line="273" w:before="120" w:after="0"/>
        <w:jc w:val="left"/>
        <w:rPr>
          <w:rFonts w:ascii="Times New Roman" w:hAnsi="Times New Roman"/>
          <w:sz w:val="20"/>
        </w:rPr>
      </w:pPr>
      <w:r>
        <w:rPr>
          <w:rFonts w:ascii="Times New Roman" w:hAnsi="Times New Roman"/>
          <w:b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r>
        <w:rPr>
          <w:rFonts w:ascii="Times New Roman" w:hAnsi="Times New Roman"/>
          <w:sz w:val="20"/>
        </w:rPr>
        <w:t xml:space="preserve"> </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Revenue Recognition - Actual Costs Incurred under the Collaboration Agreement with Sanofi</w:t>
      </w:r>
    </w:p>
    <w:p>
      <w:pPr>
        <w:pStyle w:val="TextBody"/>
        <w:spacing w:lineRule="auto" w:line="273" w:before="120" w:after="0"/>
        <w:jc w:val="left"/>
        <w:rPr>
          <w:rFonts w:ascii="Times New Roman" w:hAnsi="Times New Roman"/>
          <w:sz w:val="20"/>
        </w:rPr>
      </w:pPr>
      <w:r>
        <w:rPr>
          <w:rFonts w:ascii="Times New Roman" w:hAnsi="Times New Roman"/>
          <w:b w:val="false"/>
          <w:sz w:val="20"/>
        </w:rPr>
        <w:t>As described in Note 8 to the consolidated financial statements, the Company’s consolidated revenue was $29.4 million for the year ended December 31, 2021. Revenue is recognized under the collaboration agreement with Sanofi based on actual costs incurred as a percentage of total estimated costs to be incurred over the performance obligation as the Company completes its performance obligation. A cost-based input method of revenue recognition requires management to make estimates of costs to fulfill their performance obligation. A percentage of the actual costs incurred under approved research and development plans are reimbursed by Sanofi under the collaboration agreement. The research and development plans are determined by a joint research and development committee, over which Sanofi has final decision-making, subject to certain exceptions.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principal considerations for our determination that performing procedures relating to revenue recognition – actual costs incurred under the collaboration agreement with Sanofi is a critical audit matter are a high degree of auditor effort in performing procedures and evaluating audit evidence related to the Company’s revenue recognition and determination of actual costs incurred subject to approved development plans related to collaboration agreement with Sanofi.</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inputs and assumptions used to estimate the total effort required to complete the performance obligation. These procedures also included, among others, (i) testing management's process for recognizing revenue under the collaboration agreement with Sanofi, (ii) testing the mathematical accuracy of the cost-based input method; (iii) evaluating the terms of the master service agreement and the amendment; (iv) testing the accuracy and existence of actual costs used in the cost-based input method; and (v) testing the accuracy, existence and classification of costs that are reimbursable by the collaborative partner under the approved research and development plans.</w:t>
      </w:r>
    </w:p>
    <w:p>
      <w:pPr>
        <w:pStyle w:val="TextBody"/>
        <w:spacing w:lineRule="auto" w:line="273" w:before="240" w:after="0"/>
        <w:jc w:val="left"/>
        <w:rPr>
          <w:rFonts w:ascii="Times New Roman" w:hAnsi="Times New Roman"/>
          <w:sz w:val="20"/>
        </w:rPr>
      </w:pPr>
      <w:r>
        <w:rPr>
          <w:rFonts w:ascii="Times New Roman" w:hAnsi="Times New Roman"/>
          <w:b w:val="false"/>
          <w:sz w:val="20"/>
        </w:rPr>
        <w:t>/s/ PricewaterhouseCoopers LLP</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San Jose, California</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February 28, 2022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We have served as the Company’s auditor since 2017.</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91</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REVOLUTION MEDICINES, INC.</w:t>
      </w:r>
    </w:p>
    <w:p>
      <w:pPr>
        <w:pStyle w:val="TextBody"/>
        <w:spacing w:lineRule="auto" w:line="273" w:before="0" w:after="0"/>
        <w:jc w:val="center"/>
        <w:rPr>
          <w:rFonts w:ascii="Times New Roman" w:hAnsi="Times New Roman"/>
          <w:b/>
          <w:sz w:val="20"/>
        </w:rPr>
      </w:pPr>
      <w:bookmarkStart w:id="20" w:name="consolidated_balance_sheets"/>
      <w:bookmarkEnd w:id="20"/>
      <w:r>
        <w:rPr>
          <w:rFonts w:ascii="Times New Roman" w:hAnsi="Times New Roman"/>
          <w:b/>
          <w:sz w:val="20"/>
        </w:rPr>
        <w:t>CONSOLIDATED BALANCE SHEETS</w:t>
      </w:r>
    </w:p>
    <w:p>
      <w:pPr>
        <w:pStyle w:val="TextBody"/>
        <w:spacing w:lineRule="auto" w:line="273" w:before="0" w:after="0"/>
        <w:jc w:val="center"/>
        <w:rPr>
          <w:rFonts w:ascii="Times New Roman" w:hAnsi="Times New Roman"/>
          <w:b/>
          <w:sz w:val="20"/>
        </w:rPr>
      </w:pPr>
      <w:r>
        <w:rPr>
          <w:rFonts w:ascii="Times New Roman" w:hAnsi="Times New Roman"/>
          <w:b/>
          <w:sz w:val="20"/>
        </w:rPr>
        <w:t>(in thousands, except share and per share data)</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7162"/>
        <w:gridCol w:w="146"/>
        <w:gridCol w:w="211"/>
        <w:gridCol w:w="931"/>
        <w:gridCol w:w="166"/>
        <w:gridCol w:w="146"/>
        <w:gridCol w:w="211"/>
        <w:gridCol w:w="841"/>
        <w:gridCol w:w="391"/>
      </w:tblGrid>
      <w:tr>
        <w:trPr/>
        <w:tc>
          <w:tcPr>
            <w:tcW w:w="71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716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7162"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108,497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104,268</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468,557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336,473</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Account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6,393</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6,988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589,773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454,122</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8,902</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59,692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27,435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Intangible assets,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59,876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60,945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Goodwill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14,608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14,608</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1,084</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noncurrent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305</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737,988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567,401</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Liabilities, redeemable convertible preferred stock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14,057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12,609</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27,721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18,784</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6,214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3,672</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Deferred revenue, 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12,358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12,111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60,350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47,176</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Deferred revenue, noncurrent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6,573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8,481</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Deferred tax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7,444</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60,419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28,992</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noncurrent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135,420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92,725</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Commitments and contingencies (Note 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Preferred stock, $0.0001</w:t>
            </w:r>
            <w:r>
              <w:rPr>
                <w:rFonts w:ascii="Times New Roman" w:hAnsi="Times New Roman"/>
                <w:sz w:val="20"/>
              </w:rPr>
              <w:t> </w:t>
            </w:r>
            <w:r>
              <w:rPr>
                <w:rFonts w:ascii="Times New Roman" w:hAnsi="Times New Roman"/>
                <w:b w:val="false"/>
                <w:sz w:val="20"/>
              </w:rPr>
              <w:t>par value; 10,000,000</w:t>
            </w:r>
            <w:r>
              <w:rPr>
                <w:rFonts w:ascii="Times New Roman" w:hAnsi="Times New Roman"/>
                <w:sz w:val="20"/>
              </w:rPr>
              <w:t> </w:t>
            </w:r>
            <w:r>
              <w:rPr>
                <w:rFonts w:ascii="Times New Roman" w:hAnsi="Times New Roman"/>
                <w:b w:val="false"/>
                <w:sz w:val="20"/>
              </w:rPr>
              <w:t>and zero</w:t>
            </w:r>
            <w:r>
              <w:rPr>
                <w:rFonts w:ascii="Times New Roman" w:hAnsi="Times New Roman"/>
                <w:sz w:val="20"/>
              </w:rPr>
              <w:t> </w:t>
            </w:r>
            <w:r>
              <w:rPr>
                <w:rFonts w:ascii="Times New Roman" w:hAnsi="Times New Roman"/>
                <w:b w:val="false"/>
                <w:sz w:val="20"/>
              </w:rPr>
              <w:t>shares authorized at December 31, 2021 and 2020, respectively; zero</w:t>
            </w:r>
            <w:r>
              <w:rPr>
                <w:rFonts w:ascii="Times New Roman" w:hAnsi="Times New Roman"/>
                <w:sz w:val="20"/>
              </w:rPr>
              <w:t> </w:t>
            </w:r>
            <w:r>
              <w:rPr>
                <w:rFonts w:ascii="Times New Roman" w:hAnsi="Times New Roman"/>
                <w:b w:val="false"/>
                <w:sz w:val="20"/>
              </w:rPr>
              <w:t>shares issued and outstanding at December 31, 2021 and 2020,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Common stock, $0.0001</w:t>
            </w:r>
            <w:r>
              <w:rPr>
                <w:rFonts w:ascii="Times New Roman" w:hAnsi="Times New Roman"/>
                <w:sz w:val="20"/>
              </w:rPr>
              <w:t> </w:t>
            </w:r>
            <w:r>
              <w:rPr>
                <w:rFonts w:ascii="Times New Roman" w:hAnsi="Times New Roman"/>
                <w:b w:val="false"/>
                <w:sz w:val="20"/>
              </w:rPr>
              <w:t>par value; 300,000,000</w:t>
            </w:r>
            <w:r>
              <w:rPr>
                <w:rFonts w:ascii="Times New Roman" w:hAnsi="Times New Roman"/>
                <w:sz w:val="20"/>
              </w:rPr>
              <w:t> </w:t>
            </w:r>
            <w:r>
              <w:rPr>
                <w:rFonts w:ascii="Times New Roman" w:hAnsi="Times New Roman"/>
                <w:b w:val="false"/>
                <w:sz w:val="20"/>
              </w:rPr>
              <w:t>shares authorized at December 31, 2021 and 2020; 74,142,619</w:t>
            </w:r>
            <w:r>
              <w:rPr>
                <w:rFonts w:ascii="Times New Roman" w:hAnsi="Times New Roman"/>
                <w:sz w:val="20"/>
              </w:rPr>
              <w:t> </w:t>
            </w:r>
            <w:r>
              <w:rPr>
                <w:rFonts w:ascii="Times New Roman" w:hAnsi="Times New Roman"/>
                <w:b w:val="false"/>
                <w:sz w:val="20"/>
              </w:rPr>
              <w:t>and 66,599,748</w:t>
            </w:r>
            <w:r>
              <w:rPr>
                <w:rFonts w:ascii="Times New Roman" w:hAnsi="Times New Roman"/>
                <w:sz w:val="20"/>
              </w:rPr>
              <w:t> </w:t>
            </w:r>
            <w:r>
              <w:rPr>
                <w:rFonts w:ascii="Times New Roman" w:hAnsi="Times New Roman"/>
                <w:b w:val="false"/>
                <w:sz w:val="20"/>
              </w:rPr>
              <w:t>shares issued and outstanding at December 31, 2021 and 2020,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1,055,572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740,098</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Accumulated other comprehensive income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7162"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(452,636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(265,545</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602,568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474,676</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1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liabilities, redeemable convertible preferred stock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737,988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567,401</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The accompanying notes are an integral part of these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92</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REVOLUTION MEDICINES, INC.</w:t>
      </w:r>
    </w:p>
    <w:p>
      <w:pPr>
        <w:pStyle w:val="TextBody"/>
        <w:spacing w:lineRule="auto" w:line="273" w:before="0" w:after="0"/>
        <w:jc w:val="center"/>
        <w:rPr>
          <w:rFonts w:ascii="Times New Roman" w:hAnsi="Times New Roman"/>
          <w:b/>
          <w:sz w:val="20"/>
        </w:rPr>
      </w:pPr>
      <w:bookmarkStart w:id="21" w:name="consolidated_statements_operations"/>
      <w:bookmarkEnd w:id="21"/>
      <w:r>
        <w:rPr>
          <w:rFonts w:ascii="Times New Roman" w:hAnsi="Times New Roman"/>
          <w:b/>
          <w:sz w:val="20"/>
        </w:rPr>
        <w:t>CONSOLIDATED STATEMENTS OF OPERATIONS</w:t>
      </w:r>
    </w:p>
    <w:p>
      <w:pPr>
        <w:pStyle w:val="TextBody"/>
        <w:spacing w:lineRule="auto" w:line="273" w:before="0" w:after="0"/>
        <w:jc w:val="center"/>
        <w:rPr>
          <w:rFonts w:ascii="Times New Roman" w:hAnsi="Times New Roman"/>
          <w:b/>
          <w:sz w:val="20"/>
        </w:rPr>
      </w:pPr>
      <w:r>
        <w:rPr>
          <w:rFonts w:ascii="Times New Roman" w:hAnsi="Times New Roman"/>
          <w:b/>
          <w:sz w:val="20"/>
        </w:rPr>
        <w:t>(in thousands, except share and per share data)</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5388"/>
        <w:gridCol w:w="146"/>
        <w:gridCol w:w="211"/>
        <w:gridCol w:w="1036"/>
        <w:gridCol w:w="166"/>
        <w:gridCol w:w="146"/>
        <w:gridCol w:w="211"/>
        <w:gridCol w:w="1036"/>
        <w:gridCol w:w="166"/>
        <w:gridCol w:w="146"/>
        <w:gridCol w:w="211"/>
        <w:gridCol w:w="931"/>
        <w:gridCol w:w="411"/>
      </w:tblGrid>
      <w:tr>
        <w:trPr/>
        <w:tc>
          <w:tcPr>
            <w:tcW w:w="53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388"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6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Years Ended 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88"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538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Collaboration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50,041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38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42,983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50,041</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538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186,948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132,252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91,755</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38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30,450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21,428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12,406</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38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217,398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153,680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104,161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(188,008</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(110,697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(54,120</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538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2,238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2,189</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38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538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interest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2,167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2,083</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before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(187,091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(108,530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(52,037</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Benefit from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4,373</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(187,091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(108,159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(47,664</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Redeemable convertible preferred stock dividends – undeclared and</w:t>
              <w:br/>
              <w:t>   cumulative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(2,219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(14,238</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attributable to common stockholders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(187,091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(110,378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(61,902</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attributable to common stockholders –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(22.33</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8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common shares used to compute net loss per share, basic</w:t>
              <w:br/>
              <w:t>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72,806,079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54,874,119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2,772,589</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The accompanying notes are an integral part of these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REVOLUTION MEDICINES, INC.</w:t>
      </w:r>
    </w:p>
    <w:p>
      <w:pPr>
        <w:pStyle w:val="TextBody"/>
        <w:spacing w:lineRule="auto" w:line="273" w:before="0" w:after="0"/>
        <w:jc w:val="center"/>
        <w:rPr>
          <w:rFonts w:ascii="Times New Roman" w:hAnsi="Times New Roman"/>
          <w:sz w:val="20"/>
        </w:rPr>
      </w:pPr>
      <w:bookmarkStart w:id="22" w:name="consolidated_statements_comprehensive_lo"/>
      <w:bookmarkEnd w:id="22"/>
      <w:r>
        <w:rPr>
          <w:rFonts w:ascii="Times New Roman" w:hAnsi="Times New Roman"/>
          <w:b/>
          <w:sz w:val="20"/>
        </w:rPr>
        <w:t>CONSOLIDATED STATEMENTS</w:t>
      </w:r>
      <w:r>
        <w:rPr>
          <w:rFonts w:ascii="Times New Roman" w:hAnsi="Times New Roman"/>
          <w:sz w:val="20"/>
        </w:rPr>
        <w:t xml:space="preserve"> </w:t>
      </w:r>
      <w:r>
        <w:rPr>
          <w:rFonts w:ascii="Times New Roman" w:hAnsi="Times New Roman"/>
          <w:b/>
          <w:sz w:val="20"/>
        </w:rPr>
        <w:t>OF COMPREHENSIVE LOSS</w:t>
      </w:r>
    </w:p>
    <w:p>
      <w:pPr>
        <w:pStyle w:val="TextBody"/>
        <w:spacing w:lineRule="auto" w:line="273" w:before="0" w:after="0"/>
        <w:jc w:val="center"/>
        <w:rPr>
          <w:rFonts w:ascii="Times New Roman" w:hAnsi="Times New Roman"/>
          <w:b/>
          <w:sz w:val="20"/>
        </w:rPr>
      </w:pPr>
      <w:r>
        <w:rPr>
          <w:rFonts w:ascii="Times New Roman" w:hAnsi="Times New Roman"/>
          <w:b/>
          <w:sz w:val="20"/>
        </w:rPr>
        <w:t>(in thousands)</w:t>
      </w:r>
    </w:p>
    <w:p>
      <w:pPr>
        <w:pStyle w:val="TextBody"/>
        <w:spacing w:lineRule="auto" w:line="273" w:before="0" w:after="0"/>
        <w:jc w:val="left"/>
        <w:rPr/>
      </w:pPr>
      <w:r>
        <w:rPr/>
        <w:t> </w:t>
      </w:r>
    </w:p>
    <w:tbl>
      <w:tblPr>
        <w:tblW w:w="7543" w:type="dxa"/>
        <w:jc w:val="left"/>
        <w:tblInd w:w="0" w:type="dxa"/>
        <w:tblCellMar>
          <w:top w:w="28" w:type="dxa"/>
          <w:left w:w="28" w:type="dxa"/>
          <w:bottom w:w="28" w:type="dxa"/>
          <w:right w:w="28" w:type="dxa"/>
        </w:tblCellMar>
      </w:tblPr>
      <w:tblGrid>
        <w:gridCol w:w="3511"/>
        <w:gridCol w:w="146"/>
        <w:gridCol w:w="211"/>
        <w:gridCol w:w="841"/>
        <w:gridCol w:w="166"/>
        <w:gridCol w:w="146"/>
        <w:gridCol w:w="211"/>
        <w:gridCol w:w="841"/>
        <w:gridCol w:w="166"/>
        <w:gridCol w:w="146"/>
        <w:gridCol w:w="211"/>
        <w:gridCol w:w="736"/>
        <w:gridCol w:w="21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7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(187,091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(108,159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(47,664</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comprehensive income/(loss):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Unrealized gain (loss) on investments,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(187,583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(108,117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(47,590</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The accompanying notes are an integral part of these Consolidated Financial Statements</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4"/>
        </w:rPr>
      </w:pPr>
      <w:r>
        <w:rPr>
          <w:rFonts w:ascii="Times New Roman" w:hAnsi="Times New Roman"/>
          <w:b/>
          <w:sz w:val="14"/>
        </w:rPr>
        <w:t>REVOLUTION MEDICINES, INC.</w:t>
      </w:r>
    </w:p>
    <w:p>
      <w:pPr>
        <w:pStyle w:val="TextBody"/>
        <w:spacing w:lineRule="auto" w:line="273" w:before="0" w:after="0"/>
        <w:jc w:val="center"/>
        <w:rPr>
          <w:rFonts w:ascii="Times New Roman" w:hAnsi="Times New Roman"/>
          <w:b/>
          <w:sz w:val="14"/>
        </w:rPr>
      </w:pPr>
      <w:bookmarkStart w:id="23" w:name="consolidated_statements_stockhoders_equi"/>
      <w:bookmarkEnd w:id="23"/>
      <w:r>
        <w:rPr>
          <w:rFonts w:ascii="Times New Roman" w:hAnsi="Times New Roman"/>
          <w:b/>
          <w:sz w:val="14"/>
        </w:rPr>
        <w:t>CONSOLIDATED STATEMENTS OF REDEEMABLE CONVERTIBLE PREFERRED STOCK AND STOCKHOLDERS’ EQUITY (DEFICIT)</w:t>
      </w:r>
    </w:p>
    <w:p>
      <w:pPr>
        <w:pStyle w:val="TextBody"/>
        <w:spacing w:lineRule="auto" w:line="273" w:before="0" w:after="0"/>
        <w:jc w:val="center"/>
        <w:rPr>
          <w:rFonts w:ascii="Times New Roman" w:hAnsi="Times New Roman"/>
          <w:b/>
          <w:sz w:val="14"/>
        </w:rPr>
      </w:pPr>
      <w:r>
        <w:rPr>
          <w:rFonts w:ascii="Times New Roman" w:hAnsi="Times New Roman"/>
          <w:b/>
          <w:sz w:val="14"/>
        </w:rPr>
        <w:t>(in thousands, except share and per share data)</w:t>
      </w:r>
    </w:p>
    <w:tbl>
      <w:tblPr>
        <w:tblW w:w="10680" w:type="dxa"/>
        <w:jc w:val="left"/>
        <w:tblInd w:w="0" w:type="dxa"/>
        <w:tblCellMar>
          <w:top w:w="28" w:type="dxa"/>
          <w:left w:w="28" w:type="dxa"/>
          <w:bottom w:w="28" w:type="dxa"/>
          <w:right w:w="28" w:type="dxa"/>
        </w:tblCellMar>
      </w:tblPr>
      <w:tblGrid>
        <w:gridCol w:w="946"/>
        <w:gridCol w:w="146"/>
        <w:gridCol w:w="146"/>
        <w:gridCol w:w="841"/>
        <w:gridCol w:w="151"/>
        <w:gridCol w:w="146"/>
        <w:gridCol w:w="181"/>
        <w:gridCol w:w="646"/>
        <w:gridCol w:w="151"/>
        <w:gridCol w:w="146"/>
        <w:gridCol w:w="146"/>
        <w:gridCol w:w="146"/>
        <w:gridCol w:w="796"/>
        <w:gridCol w:w="151"/>
        <w:gridCol w:w="146"/>
        <w:gridCol w:w="196"/>
        <w:gridCol w:w="375"/>
        <w:gridCol w:w="146"/>
        <w:gridCol w:w="146"/>
        <w:gridCol w:w="181"/>
        <w:gridCol w:w="721"/>
        <w:gridCol w:w="146"/>
        <w:gridCol w:w="146"/>
        <w:gridCol w:w="321"/>
        <w:gridCol w:w="670"/>
        <w:gridCol w:w="151"/>
        <w:gridCol w:w="146"/>
        <w:gridCol w:w="190"/>
        <w:gridCol w:w="681"/>
        <w:gridCol w:w="151"/>
        <w:gridCol w:w="146"/>
        <w:gridCol w:w="193"/>
        <w:gridCol w:w="693"/>
        <w:gridCol w:w="396"/>
      </w:tblGrid>
      <w:tr>
        <w:trPr/>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9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gridSpan w:val="2"/>
            <w:tcBorders/>
            <w:shd w:fill="auto" w:val="clear"/>
            <w:vAlign w:val="center"/>
          </w:tcPr>
          <w:p>
            <w:pPr>
              <w:pStyle w:val="TableContents"/>
              <w:spacing w:lineRule="auto" w:line="252" w:before="0" w:after="0"/>
              <w:ind w:left="0" w:right="0" w:hanging="0"/>
              <w:jc w:val="center"/>
              <w:rPr/>
            </w:pPr>
            <w:r>
              <w:rPr/>
              <w:t> </w:t>
            </w:r>
          </w:p>
        </w:tc>
        <w:tc>
          <w:tcPr>
            <w:tcW w:w="396" w:type="dxa"/>
            <w:tcBorders/>
            <w:shd w:fill="auto" w:val="clear"/>
            <w:vAlign w:val="center"/>
          </w:tcPr>
          <w:p>
            <w:pPr>
              <w:pStyle w:val="TableContents"/>
              <w:spacing w:lineRule="auto" w:line="252" w:before="0" w:after="0"/>
              <w:ind w:left="0" w:right="0" w:hanging="0"/>
              <w:jc w:val="center"/>
              <w:rPr/>
            </w:pPr>
            <w:r>
              <w:rPr/>
              <w:t> </w:t>
            </w:r>
          </w:p>
        </w:tc>
      </w:tr>
      <w:tr>
        <w:trPr/>
        <w:tc>
          <w:tcPr>
            <w:tcW w:w="9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1"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Redeemable Convertible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Additional</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other</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shd w:fill="auto" w:val="clear"/>
            <w:vAlign w:val="center"/>
          </w:tcPr>
          <w:p>
            <w:pPr>
              <w:pStyle w:val="TableContents"/>
              <w:spacing w:lineRule="auto" w:line="252" w:before="0" w:after="0"/>
              <w:ind w:left="0" w:right="0" w:hanging="0"/>
              <w:jc w:val="center"/>
              <w:rPr/>
            </w:pPr>
            <w:r>
              <w:rPr/>
              <w:t> </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Total</w:t>
            </w:r>
          </w:p>
        </w:tc>
        <w:tc>
          <w:tcPr>
            <w:tcW w:w="396" w:type="dxa"/>
            <w:tcBorders/>
            <w:shd w:fill="auto" w:val="clear"/>
            <w:vAlign w:val="center"/>
          </w:tcPr>
          <w:p>
            <w:pPr>
              <w:pStyle w:val="TableContents"/>
              <w:spacing w:lineRule="auto" w:line="252" w:before="0" w:after="0"/>
              <w:ind w:left="0" w:right="0" w:hanging="0"/>
              <w:jc w:val="center"/>
              <w:rPr/>
            </w:pPr>
            <w:r>
              <w:rPr/>
              <w:t> </w:t>
            </w:r>
          </w:p>
        </w:tc>
      </w:tr>
      <w:tr>
        <w:trPr/>
        <w:tc>
          <w:tcPr>
            <w:tcW w:w="9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Preferred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comprehensive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Stockholders’</w:t>
            </w:r>
          </w:p>
        </w:tc>
        <w:tc>
          <w:tcPr>
            <w:tcW w:w="396" w:type="dxa"/>
            <w:tcBorders/>
            <w:shd w:fill="auto" w:val="clear"/>
            <w:vAlign w:val="center"/>
          </w:tcPr>
          <w:p>
            <w:pPr>
              <w:pStyle w:val="TableContents"/>
              <w:spacing w:lineRule="auto" w:line="252" w:before="0" w:after="0"/>
              <w:ind w:left="0" w:right="0" w:hanging="0"/>
              <w:jc w:val="center"/>
              <w:rPr/>
            </w:pPr>
            <w:r>
              <w:rPr/>
              <w:t> </w:t>
            </w:r>
          </w:p>
        </w:tc>
      </w:tr>
      <w:tr>
        <w:trPr/>
        <w:tc>
          <w:tcPr>
            <w:tcW w:w="9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income</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3"/>
              </w:rPr>
            </w:pPr>
            <w:r>
              <w:rPr>
                <w:rFonts w:ascii="Times New Roman" w:hAnsi="Times New Roman"/>
                <w:b/>
                <w:sz w:val="13"/>
              </w:rPr>
              <w:t>Equity (Deficit)</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94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Balance at December 31, 2018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29,595,909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205,081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3,208,924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1,300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(109,722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(108,422</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15"/>
              </w:rPr>
            </w:pPr>
            <w:r>
              <w:rPr>
                <w:rFonts w:ascii="Times New Roman" w:hAnsi="Times New Roman"/>
                <w:b w:val="false"/>
                <w:sz w:val="15"/>
              </w:rPr>
              <w:t>)</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5"/>
              </w:rPr>
              <w:t>Issuance of Series C redeemable convertible preferred stock for</w:t>
              <w:br/>
              <w:t>   cash at $10.03</w:t>
            </w:r>
            <w:r>
              <w:rPr>
                <w:rFonts w:ascii="Times New Roman" w:hAnsi="Times New Roman"/>
                <w:sz w:val="20"/>
              </w:rPr>
              <w:t> </w:t>
            </w:r>
            <w:r>
              <w:rPr>
                <w:rFonts w:ascii="Times New Roman" w:hAnsi="Times New Roman"/>
                <w:b w:val="false"/>
                <w:sz w:val="15"/>
              </w:rPr>
              <w:t>per share, net of issuance costs of $254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10,004,514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100,028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pPr>
            <w:r>
              <w:rPr/>
              <w:t>—</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pursuant to stock option exercises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70,250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114</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pursuant to early exercised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100,860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pPr>
            <w:r>
              <w:rPr/>
              <w:t>—</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Vesting of early exercised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163</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Repurchases of early exercised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(87,910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pPr>
            <w:r>
              <w:rPr/>
              <w:t>—</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3,161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3,161</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Net unrealized gains on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74</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(47,664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(47,664</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94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Balance at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39,600,423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305,109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3,292,124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4,738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(157,386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(152,574</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15"/>
              </w:rPr>
            </w:pPr>
            <w:r>
              <w:rPr>
                <w:rFonts w:ascii="Times New Roman" w:hAnsi="Times New Roman"/>
                <w:b w:val="false"/>
                <w:sz w:val="15"/>
              </w:rPr>
              <w:t>)</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Conversion of redeemable convertible preferred stock into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(39,600,423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(305,109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39,600,423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305,105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305,109</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from initial public offering, net of offering costs of $23,003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16,100,000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250,695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250,697</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from follow-on offering, net of offering costs of $11,633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6,900,000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167,766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167,767</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pursuant to stock option exercises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694,441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1,877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1,877</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related to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29,237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832</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related to vesting of 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1,681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pPr>
            <w:r>
              <w:rPr/>
              <w:t>—</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Vesting of early exercised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199</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Repurchases of early exercised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(18,158</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pPr>
            <w:r>
              <w:rPr/>
              <w:t>—</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8,886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8,886</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Net unrealized gains on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42</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(108,159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(108,159</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94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Balance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66,599,748</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740,098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116</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(265,545</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474,676</w:t>
            </w:r>
          </w:p>
        </w:tc>
        <w:tc>
          <w:tcPr>
            <w:tcW w:w="3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pursuant to stock option exercises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388,695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1,487</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Vesting of early exercised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148</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related to vesting of 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78,010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pPr>
            <w:r>
              <w:rPr/>
              <w:t>—</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related to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75,991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1,875</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Repurchase of early exercised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(5,793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pPr>
            <w:r>
              <w:rPr/>
              <w:t>—</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from follow-on offering, net of issuance cost of $18,855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6,666,666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281,144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281,145</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Issuance of common stock from at-the-market offering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339,302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10,096</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20,724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20,724</w:t>
            </w:r>
          </w:p>
        </w:tc>
        <w:tc>
          <w:tcPr>
            <w:tcW w:w="396" w:type="dxa"/>
            <w:tcBorders/>
            <w:shd w:fill="auto" w:val="clear"/>
            <w:vAlign w:val="center"/>
          </w:tcPr>
          <w:p>
            <w:pPr>
              <w:pStyle w:val="TableContents"/>
              <w:spacing w:lineRule="auto" w:line="252" w:before="0" w:after="0"/>
              <w:ind w:left="0" w:right="0" w:firstLine="200"/>
              <w:jc w:val="left"/>
              <w:rPr/>
            </w:pPr>
            <w:r>
              <w:rPr/>
              <w:t> </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Net unrealized loss on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37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pPr>
            <w:r>
              <w:rPr/>
              <w:t> </w:t>
            </w:r>
          </w:p>
        </w:tc>
        <w:tc>
          <w:tcPr>
            <w:tcW w:w="670"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(492</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(492</w:t>
            </w:r>
          </w:p>
        </w:tc>
        <w:tc>
          <w:tcPr>
            <w:tcW w:w="39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5"/>
              </w:rPr>
            </w:pPr>
            <w:r>
              <w:rPr>
                <w:rFonts w:ascii="Times New Roman" w:hAnsi="Times New Roman"/>
                <w:b w:val="false"/>
                <w:sz w:val="15"/>
              </w:rPr>
              <w:t>)</w:t>
            </w:r>
          </w:p>
        </w:tc>
      </w:tr>
      <w:tr>
        <w:trPr/>
        <w:tc>
          <w:tcPr>
            <w:tcW w:w="9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(187,091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(187,091</w:t>
            </w:r>
          </w:p>
        </w:tc>
        <w:tc>
          <w:tcPr>
            <w:tcW w:w="3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94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Balance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74,142,619</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1,055,572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(376</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(452,636</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9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602,568</w:t>
            </w:r>
          </w:p>
        </w:tc>
        <w:tc>
          <w:tcPr>
            <w:tcW w:w="3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60" w:after="0"/>
        <w:jc w:val="center"/>
        <w:rPr>
          <w:rFonts w:ascii="Times New Roman" w:hAnsi="Times New Roman"/>
          <w:b w:val="false"/>
          <w:sz w:val="16"/>
        </w:rPr>
      </w:pPr>
      <w:r>
        <w:rPr>
          <w:rFonts w:ascii="Times New Roman" w:hAnsi="Times New Roman"/>
          <w:b w:val="false"/>
          <w:sz w:val="16"/>
        </w:rPr>
        <w:t>The accompanying notes are an integral part of these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REVOLUTION MEDICINES, INC.</w:t>
      </w:r>
    </w:p>
    <w:p>
      <w:pPr>
        <w:pStyle w:val="TextBody"/>
        <w:spacing w:lineRule="auto" w:line="273" w:before="0" w:after="0"/>
        <w:jc w:val="center"/>
        <w:rPr>
          <w:rFonts w:ascii="Times New Roman" w:hAnsi="Times New Roman"/>
          <w:b/>
          <w:sz w:val="16"/>
        </w:rPr>
      </w:pPr>
      <w:bookmarkStart w:id="24" w:name="consolidated_statements_cash_flows"/>
      <w:bookmarkEnd w:id="24"/>
      <w:r>
        <w:rPr>
          <w:rFonts w:ascii="Times New Roman" w:hAnsi="Times New Roman"/>
          <w:b/>
          <w:sz w:val="16"/>
        </w:rPr>
        <w:t>CONSOLIDATED STATEMENTS OF CASH FLOWS</w:t>
      </w:r>
    </w:p>
    <w:p>
      <w:pPr>
        <w:pStyle w:val="TextBody"/>
        <w:spacing w:lineRule="auto" w:line="273" w:before="0" w:after="0"/>
        <w:jc w:val="center"/>
        <w:rPr>
          <w:rFonts w:ascii="Times New Roman" w:hAnsi="Times New Roman"/>
          <w:b/>
          <w:sz w:val="16"/>
        </w:rPr>
      </w:pPr>
      <w:r>
        <w:rPr>
          <w:rFonts w:ascii="Times New Roman" w:hAnsi="Times New Roman"/>
          <w:b/>
          <w:sz w:val="16"/>
        </w:rPr>
        <w:t>(in thousands)</w:t>
      </w:r>
    </w:p>
    <w:tbl>
      <w:tblPr>
        <w:tblW w:w="10205" w:type="dxa"/>
        <w:jc w:val="left"/>
        <w:tblInd w:w="0" w:type="dxa"/>
        <w:tblCellMar>
          <w:top w:w="28" w:type="dxa"/>
          <w:left w:w="28" w:type="dxa"/>
          <w:bottom w:w="28" w:type="dxa"/>
          <w:right w:w="28" w:type="dxa"/>
        </w:tblCellMar>
      </w:tblPr>
      <w:tblGrid>
        <w:gridCol w:w="6188"/>
        <w:gridCol w:w="146"/>
        <w:gridCol w:w="181"/>
        <w:gridCol w:w="646"/>
        <w:gridCol w:w="151"/>
        <w:gridCol w:w="146"/>
        <w:gridCol w:w="181"/>
        <w:gridCol w:w="646"/>
        <w:gridCol w:w="151"/>
        <w:gridCol w:w="146"/>
        <w:gridCol w:w="181"/>
        <w:gridCol w:w="646"/>
        <w:gridCol w:w="796"/>
      </w:tblGrid>
      <w:tr>
        <w:trPr/>
        <w:tc>
          <w:tcPr>
            <w:tcW w:w="61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r>
      <w:tr>
        <w:trPr/>
        <w:tc>
          <w:tcPr>
            <w:tcW w:w="6188"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Year Ended December 31,</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88"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2021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2020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2019</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Cash flows from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796" w:type="dxa"/>
            <w:tcBorders/>
            <w:shd w:fill="auto" w:val="clear"/>
            <w:vAlign w:val="center"/>
          </w:tcPr>
          <w:p>
            <w:pPr>
              <w:pStyle w:val="TableContents"/>
              <w:spacing w:lineRule="auto" w:line="252" w:before="0" w:after="0"/>
              <w:ind w:left="0" w:right="0" w:firstLine="200"/>
              <w:jc w:val="right"/>
              <w:rPr/>
            </w:pPr>
            <w:r>
              <w:rPr/>
              <w:t> </w:t>
            </w:r>
          </w:p>
        </w:tc>
      </w:tr>
      <w:tr>
        <w:trPr/>
        <w:tc>
          <w:tcPr>
            <w:tcW w:w="6188"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(187,091</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(108,159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(47,664</w:t>
            </w:r>
          </w:p>
        </w:tc>
        <w:tc>
          <w:tcPr>
            <w:tcW w:w="79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200" w:right="0" w:hanging="0"/>
              <w:jc w:val="left"/>
              <w:rPr>
                <w:rFonts w:ascii="Times New Roman" w:hAnsi="Times New Roman"/>
                <w:b w:val="false"/>
                <w:sz w:val="15"/>
              </w:rPr>
            </w:pPr>
            <w:r>
              <w:rPr>
                <w:rFonts w:ascii="Times New Roman" w:hAnsi="Times New Roman"/>
                <w:b w:val="false"/>
                <w:sz w:val="15"/>
              </w:rPr>
              <w:t>Adjustments to reconcile net loss to net cash (used in) provided by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796" w:type="dxa"/>
            <w:tcBorders/>
            <w:shd w:fill="auto" w:val="clear"/>
            <w:vAlign w:val="center"/>
          </w:tcPr>
          <w:p>
            <w:pPr>
              <w:pStyle w:val="TableContents"/>
              <w:spacing w:lineRule="auto" w:line="252" w:before="0" w:after="0"/>
              <w:ind w:left="0" w:right="0" w:firstLine="400"/>
              <w:jc w:val="right"/>
              <w:rPr/>
            </w:pPr>
            <w:r>
              <w:rPr/>
              <w:t> </w:t>
            </w:r>
          </w:p>
        </w:tc>
      </w:tr>
      <w:tr>
        <w:trPr/>
        <w:tc>
          <w:tcPr>
            <w:tcW w:w="6188"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Amortization of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1,069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1,068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1,069</w:t>
            </w:r>
          </w:p>
        </w:tc>
        <w:tc>
          <w:tcPr>
            <w:tcW w:w="796" w:type="dxa"/>
            <w:tcBorders/>
            <w:shd w:fill="auto" w:val="clear"/>
            <w:vAlign w:val="center"/>
          </w:tcPr>
          <w:p>
            <w:pPr>
              <w:pStyle w:val="TableContents"/>
              <w:spacing w:lineRule="auto" w:line="252" w:before="0" w:after="0"/>
              <w:ind w:left="0" w:right="0" w:firstLine="400"/>
              <w:jc w:val="left"/>
              <w:rPr/>
            </w:pPr>
            <w:r>
              <w:rPr/>
              <w:t> </w:t>
            </w:r>
          </w:p>
        </w:tc>
      </w:tr>
      <w:tr>
        <w:trPr/>
        <w:tc>
          <w:tcPr>
            <w:tcW w:w="6188"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20,724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8,886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3,161</w:t>
            </w:r>
          </w:p>
        </w:tc>
        <w:tc>
          <w:tcPr>
            <w:tcW w:w="796" w:type="dxa"/>
            <w:tcBorders/>
            <w:shd w:fill="auto" w:val="clear"/>
            <w:vAlign w:val="center"/>
          </w:tcPr>
          <w:p>
            <w:pPr>
              <w:pStyle w:val="TableContents"/>
              <w:spacing w:lineRule="auto" w:line="252" w:before="0" w:after="0"/>
              <w:ind w:left="0" w:right="0" w:firstLine="400"/>
              <w:jc w:val="left"/>
              <w:rPr/>
            </w:pPr>
            <w:r>
              <w:rPr/>
              <w:t> </w:t>
            </w:r>
          </w:p>
        </w:tc>
      </w:tr>
      <w:tr>
        <w:trPr/>
        <w:tc>
          <w:tcPr>
            <w:tcW w:w="6188"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3,083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2,611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2,273</w:t>
            </w:r>
          </w:p>
        </w:tc>
        <w:tc>
          <w:tcPr>
            <w:tcW w:w="796" w:type="dxa"/>
            <w:tcBorders/>
            <w:shd w:fill="auto" w:val="clear"/>
            <w:vAlign w:val="center"/>
          </w:tcPr>
          <w:p>
            <w:pPr>
              <w:pStyle w:val="TableContents"/>
              <w:spacing w:lineRule="auto" w:line="252" w:before="0" w:after="0"/>
              <w:ind w:left="0" w:right="0" w:firstLine="400"/>
              <w:jc w:val="left"/>
              <w:rPr/>
            </w:pPr>
            <w:r>
              <w:rPr/>
              <w:t> </w:t>
            </w:r>
          </w:p>
        </w:tc>
      </w:tr>
      <w:tr>
        <w:trPr/>
        <w:tc>
          <w:tcPr>
            <w:tcW w:w="6188"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Loss on disposal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226</w:t>
            </w:r>
          </w:p>
        </w:tc>
        <w:tc>
          <w:tcPr>
            <w:tcW w:w="796" w:type="dxa"/>
            <w:tcBorders/>
            <w:shd w:fill="auto" w:val="clear"/>
            <w:vAlign w:val="center"/>
          </w:tcPr>
          <w:p>
            <w:pPr>
              <w:pStyle w:val="TableContents"/>
              <w:spacing w:lineRule="auto" w:line="252" w:before="0" w:after="0"/>
              <w:ind w:left="0" w:right="0" w:firstLine="400"/>
              <w:jc w:val="left"/>
              <w:rPr/>
            </w:pPr>
            <w:r>
              <w:rPr/>
              <w:t> </w:t>
            </w:r>
          </w:p>
        </w:tc>
      </w:tr>
      <w:tr>
        <w:trPr/>
        <w:tc>
          <w:tcPr>
            <w:tcW w:w="6188"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Loss on disposal of held for sale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597</w:t>
            </w:r>
          </w:p>
        </w:tc>
        <w:tc>
          <w:tcPr>
            <w:tcW w:w="796" w:type="dxa"/>
            <w:tcBorders/>
            <w:shd w:fill="auto" w:val="clear"/>
            <w:vAlign w:val="center"/>
          </w:tcPr>
          <w:p>
            <w:pPr>
              <w:pStyle w:val="TableContents"/>
              <w:spacing w:lineRule="auto" w:line="252" w:before="0" w:after="0"/>
              <w:ind w:left="0" w:right="0" w:firstLine="400"/>
              <w:jc w:val="left"/>
              <w:rPr/>
            </w:pPr>
            <w:r>
              <w:rPr/>
              <w:t> </w:t>
            </w:r>
          </w:p>
        </w:tc>
      </w:tr>
      <w:tr>
        <w:trPr/>
        <w:tc>
          <w:tcPr>
            <w:tcW w:w="6188"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Net amortization (accretion) of premium (discount) on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3,012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968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(450</w:t>
            </w:r>
          </w:p>
        </w:tc>
        <w:tc>
          <w:tcPr>
            <w:tcW w:w="79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Amortization of operating lease 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3,180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2,866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796" w:type="dxa"/>
            <w:tcBorders/>
            <w:shd w:fill="auto" w:val="clear"/>
            <w:vAlign w:val="center"/>
          </w:tcPr>
          <w:p>
            <w:pPr>
              <w:pStyle w:val="TableContents"/>
              <w:spacing w:lineRule="auto" w:line="252" w:before="0" w:after="0"/>
              <w:ind w:left="0" w:right="0" w:firstLine="400"/>
              <w:jc w:val="left"/>
              <w:rPr/>
            </w:pPr>
            <w:r>
              <w:rPr/>
              <w:t> </w:t>
            </w:r>
          </w:p>
        </w:tc>
      </w:tr>
      <w:tr>
        <w:trPr/>
        <w:tc>
          <w:tcPr>
            <w:tcW w:w="6188" w:type="dxa"/>
            <w:tcBorders/>
            <w:shd w:fill="auto" w:val="clear"/>
            <w:vAlign w:val="center"/>
          </w:tcPr>
          <w:p>
            <w:pPr>
              <w:pStyle w:val="TableContents"/>
              <w:spacing w:lineRule="auto" w:line="252" w:before="0" w:after="0"/>
              <w:ind w:left="400" w:right="0" w:hanging="0"/>
              <w:jc w:val="left"/>
              <w:rPr>
                <w:rFonts w:ascii="Times New Roman" w:hAnsi="Times New Roman"/>
                <w:b w:val="false"/>
                <w:sz w:val="15"/>
              </w:rPr>
            </w:pPr>
            <w:r>
              <w:rPr>
                <w:rFonts w:ascii="Times New Roman" w:hAnsi="Times New Roman"/>
                <w:b w:val="false"/>
                <w:sz w:val="15"/>
              </w:rPr>
              <w:t>Changes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796" w:type="dxa"/>
            <w:tcBorders/>
            <w:shd w:fill="auto" w:val="clear"/>
            <w:vAlign w:val="center"/>
          </w:tcPr>
          <w:p>
            <w:pPr>
              <w:pStyle w:val="TableContents"/>
              <w:spacing w:lineRule="auto" w:line="252" w:before="0" w:after="0"/>
              <w:ind w:left="0" w:right="0" w:firstLine="600"/>
              <w:jc w:val="right"/>
              <w:rPr/>
            </w:pPr>
            <w:r>
              <w:rPr/>
              <w:t> </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Account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464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2,344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(1,434</w:t>
            </w:r>
          </w:p>
        </w:tc>
        <w:tc>
          <w:tcPr>
            <w:tcW w:w="7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198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(1,924</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(541</w:t>
            </w:r>
          </w:p>
        </w:tc>
        <w:tc>
          <w:tcPr>
            <w:tcW w:w="7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2,239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305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5,264</w:t>
            </w:r>
          </w:p>
        </w:tc>
        <w:tc>
          <w:tcPr>
            <w:tcW w:w="796" w:type="dxa"/>
            <w:tcBorders/>
            <w:shd w:fill="auto" w:val="clear"/>
            <w:vAlign w:val="center"/>
          </w:tcPr>
          <w:p>
            <w:pPr>
              <w:pStyle w:val="TableContents"/>
              <w:spacing w:lineRule="auto" w:line="252" w:before="0" w:after="0"/>
              <w:ind w:left="0" w:right="0" w:firstLine="600"/>
              <w:jc w:val="left"/>
              <w:rPr/>
            </w:pPr>
            <w:r>
              <w:rPr/>
              <w:t> </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8,720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4,855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6,042</w:t>
            </w:r>
          </w:p>
        </w:tc>
        <w:tc>
          <w:tcPr>
            <w:tcW w:w="796" w:type="dxa"/>
            <w:tcBorders/>
            <w:shd w:fill="auto" w:val="clear"/>
            <w:vAlign w:val="center"/>
          </w:tcPr>
          <w:p>
            <w:pPr>
              <w:pStyle w:val="TableContents"/>
              <w:spacing w:lineRule="auto" w:line="252" w:before="0" w:after="0"/>
              <w:ind w:left="0" w:right="0" w:firstLine="600"/>
              <w:jc w:val="left"/>
              <w:rPr/>
            </w:pPr>
            <w:r>
              <w:rPr/>
              <w:t> </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Deferred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(1,661</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(11,259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(13,392</w:t>
            </w:r>
          </w:p>
        </w:tc>
        <w:tc>
          <w:tcPr>
            <w:tcW w:w="7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Deferred 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(513</w:t>
            </w:r>
          </w:p>
        </w:tc>
        <w:tc>
          <w:tcPr>
            <w:tcW w:w="7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(1,468</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(2,565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796" w:type="dxa"/>
            <w:tcBorders/>
            <w:shd w:fill="auto" w:val="clear"/>
            <w:vAlign w:val="center"/>
          </w:tcPr>
          <w:p>
            <w:pPr>
              <w:pStyle w:val="TableContents"/>
              <w:spacing w:lineRule="auto" w:line="252" w:before="0" w:after="0"/>
              <w:ind w:left="0" w:right="0" w:firstLine="600"/>
              <w:jc w:val="left"/>
              <w:rPr/>
            </w:pPr>
            <w:r>
              <w:rPr/>
              <w:t> </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Deferred tax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(375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(4,373</w:t>
            </w:r>
          </w:p>
        </w:tc>
        <w:tc>
          <w:tcPr>
            <w:tcW w:w="7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Other noncurrent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139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(65</w:t>
            </w:r>
          </w:p>
        </w:tc>
        <w:tc>
          <w:tcPr>
            <w:tcW w:w="796" w:type="dxa"/>
            <w:tcBorders/>
            <w:shd w:fill="auto" w:val="clear"/>
            <w:vAlign w:val="center"/>
          </w:tcPr>
          <w:p>
            <w:pPr>
              <w:pStyle w:val="TableContents"/>
              <w:spacing w:lineRule="auto" w:line="252" w:before="0" w:after="0"/>
              <w:ind w:left="0" w:right="0" w:firstLine="60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Other noncurrent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151</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176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184</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(147,180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(100,064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(49,616</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Cash flows from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796" w:type="dxa"/>
            <w:tcBorders/>
            <w:shd w:fill="auto" w:val="clear"/>
            <w:vAlign w:val="center"/>
          </w:tcPr>
          <w:p>
            <w:pPr>
              <w:pStyle w:val="TableContents"/>
              <w:spacing w:lineRule="auto" w:line="252" w:before="0" w:after="0"/>
              <w:ind w:left="0" w:right="0" w:hanging="0"/>
              <w:jc w:val="righ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Purchases of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(671,335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(544,133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(172,266</w:t>
            </w:r>
          </w:p>
        </w:tc>
        <w:tc>
          <w:tcPr>
            <w:tcW w:w="79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Sales of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8,992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3,005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11,200</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Maturities of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526,754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309,828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55,490</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Purchases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(6,528</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(2,933</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(2,589</w:t>
            </w:r>
          </w:p>
        </w:tc>
        <w:tc>
          <w:tcPr>
            <w:tcW w:w="79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Proceeds from sales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196</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Proceeds from sale of held for sale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6,000</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(142,117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(234,233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(101,969</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Cash flows from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796" w:type="dxa"/>
            <w:tcBorders/>
            <w:shd w:fill="auto" w:val="clear"/>
            <w:vAlign w:val="center"/>
          </w:tcPr>
          <w:p>
            <w:pPr>
              <w:pStyle w:val="TableContents"/>
              <w:spacing w:lineRule="auto" w:line="252" w:before="0" w:after="0"/>
              <w:ind w:left="0" w:right="0" w:hanging="0"/>
              <w:jc w:val="righ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Proceeds from issuance of common stock, net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281,145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420,067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Proceeds from issuance of common stock from at-the-market offering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10,096</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Proceeds from issuance of redeemable convertible preferred stock, net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100,028</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Proceeds from issuance of common stock under equity incentive plans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1,487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1,877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277</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Proceeds from issuance of common stock under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1,875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832</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Repurchases of early exercised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(45</w:t>
            </w:r>
          </w:p>
        </w:tc>
        <w:tc>
          <w:tcPr>
            <w:tcW w:w="79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Payments of deferred offering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(424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(1,602</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600" w:right="0" w:hanging="0"/>
              <w:jc w:val="left"/>
              <w:rPr>
                <w:rFonts w:ascii="Times New Roman" w:hAnsi="Times New Roman"/>
                <w:b w:val="false"/>
                <w:sz w:val="15"/>
              </w:rPr>
            </w:pPr>
            <w:r>
              <w:rPr>
                <w:rFonts w:ascii="Times New Roman" w:hAnsi="Times New Roman"/>
                <w:b w:val="false"/>
                <w:sz w:val="15"/>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294,179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422,776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98,658</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Net (decrease) increase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4,882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88,479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(52,927</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Cash, cash equivalents and restricted cash – beginning of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105,352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16,873</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69,800</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Cash, cash equivalents and restricted cash – end of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110,234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105,352</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16,873</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Reconciliation of cash, cash equivalents and restricted cash to consolidated balance sheets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796" w:type="dxa"/>
            <w:tcBorders/>
            <w:shd w:fill="auto" w:val="clear"/>
            <w:vAlign w:val="center"/>
          </w:tcPr>
          <w:p>
            <w:pPr>
              <w:pStyle w:val="TableContents"/>
              <w:spacing w:lineRule="auto" w:line="252" w:before="0" w:after="0"/>
              <w:ind w:left="0" w:right="0" w:hanging="0"/>
              <w:jc w:val="righ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108,497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104,268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16,659</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1,737</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1,084</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214</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Cash, cash equivalents and restricted cash – end of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110,234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105,352</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16,873</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Supplemental disclosure of non-cash investing and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7" w:type="dxa"/>
            <w:gridSpan w:val="2"/>
            <w:tcBorders/>
            <w:shd w:fill="auto" w:val="clear"/>
            <w:vAlign w:val="center"/>
          </w:tcPr>
          <w:p>
            <w:pPr>
              <w:pStyle w:val="TableContents"/>
              <w:spacing w:lineRule="auto" w:line="252" w:before="0" w:after="0"/>
              <w:ind w:left="0" w:right="0" w:hanging="0"/>
              <w:jc w:val="right"/>
              <w:rPr/>
            </w:pPr>
            <w:r>
              <w:rPr/>
              <w:t> </w:t>
            </w:r>
          </w:p>
        </w:tc>
        <w:tc>
          <w:tcPr>
            <w:tcW w:w="796" w:type="dxa"/>
            <w:tcBorders/>
            <w:shd w:fill="auto" w:val="clear"/>
            <w:vAlign w:val="center"/>
          </w:tcPr>
          <w:p>
            <w:pPr>
              <w:pStyle w:val="TableContents"/>
              <w:spacing w:lineRule="auto" w:line="252" w:before="0" w:after="0"/>
              <w:ind w:left="0" w:right="0" w:hanging="0"/>
              <w:jc w:val="righ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Vesting of early exercised options and restricted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149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199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163</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Purchases of property and equipment in accounts payable and 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1,129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1,813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380</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Right-of-use assets obtained in exchange for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35,437</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21,188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796" w:type="dxa"/>
            <w:tcBorders/>
            <w:shd w:fill="auto" w:val="clear"/>
            <w:vAlign w:val="center"/>
          </w:tcPr>
          <w:p>
            <w:pPr>
              <w:pStyle w:val="TableContents"/>
              <w:spacing w:lineRule="auto" w:line="252" w:before="0" w:after="0"/>
              <w:ind w:left="0" w:right="0" w:hanging="0"/>
              <w:jc w:val="left"/>
              <w:rPr/>
            </w:pPr>
            <w:r>
              <w:rPr/>
              <w:t> </w:t>
            </w:r>
          </w:p>
        </w:tc>
      </w:tr>
      <w:tr>
        <w:trPr/>
        <w:tc>
          <w:tcPr>
            <w:tcW w:w="6188"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Unpaid deferred offering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519</w:t>
            </w:r>
          </w:p>
        </w:tc>
        <w:tc>
          <w:tcPr>
            <w:tcW w:w="79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rFonts w:ascii="Times New Roman" w:hAnsi="Times New Roman"/>
          <w:b w:val="false"/>
          <w:sz w:val="15"/>
        </w:rPr>
      </w:pPr>
      <w:r>
        <w:rPr>
          <w:rFonts w:ascii="Times New Roman" w:hAnsi="Times New Roman"/>
          <w:b w:val="false"/>
          <w:sz w:val="15"/>
        </w:rPr>
        <w:t>The accompanying notes are an integral part of these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REVOLUTION MEDICINES, INC.</w:t>
      </w:r>
    </w:p>
    <w:p>
      <w:pPr>
        <w:pStyle w:val="TextBody"/>
        <w:spacing w:lineRule="auto" w:line="273" w:before="0" w:after="0"/>
        <w:jc w:val="center"/>
        <w:rPr>
          <w:rFonts w:ascii="Times New Roman" w:hAnsi="Times New Roman"/>
          <w:b/>
          <w:sz w:val="20"/>
        </w:rPr>
      </w:pPr>
      <w:bookmarkStart w:id="25" w:name="notes_to_consolidated_financial_statemen"/>
      <w:bookmarkEnd w:id="25"/>
      <w:r>
        <w:rPr>
          <w:rFonts w:ascii="Times New Roman" w:hAnsi="Times New Roman"/>
          <w:b/>
          <w:sz w:val="20"/>
        </w:rPr>
        <w:t>NOTES TO CONSOLIDATED FINANCIAL STATEMENTS</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1.</w:t>
      </w:r>
    </w:p>
    <w:p>
      <w:pPr>
        <w:pStyle w:val="TextBody"/>
        <w:spacing w:lineRule="auto" w:line="273"/>
        <w:jc w:val="left"/>
        <w:rPr>
          <w:rFonts w:ascii="Times New Roman" w:hAnsi="Times New Roman"/>
          <w:b/>
          <w:sz w:val="20"/>
        </w:rPr>
      </w:pPr>
      <w:r>
        <w:rPr>
          <w:rFonts w:ascii="Times New Roman" w:hAnsi="Times New Roman"/>
          <w:b/>
          <w:sz w:val="20"/>
        </w:rPr>
        <w:t>Organization</w:t>
      </w:r>
    </w:p>
    <w:p>
      <w:pPr>
        <w:pStyle w:val="TextBody"/>
        <w:spacing w:lineRule="auto" w:line="273" w:before="120" w:after="0"/>
        <w:jc w:val="left"/>
        <w:rPr>
          <w:rFonts w:ascii="Times New Roman" w:hAnsi="Times New Roman"/>
          <w:sz w:val="20"/>
        </w:rPr>
      </w:pPr>
      <w:r>
        <w:rPr>
          <w:rFonts w:ascii="Times New Roman" w:hAnsi="Times New Roman"/>
          <w:b w:val="false"/>
          <w:sz w:val="20"/>
        </w:rPr>
        <w:t>Revolution Medicines, Inc. (the Company) is a clinical-stage precision oncology company focused on developing targeted therapies to inhibit frontier targets in RAS-addicted cancers. The Company was founded in October 2014 and is headquartered in Redwood City, California.</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Liquidity</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has incurred net operating losses in each year since inception. As of December 31, 2021, the Company had an accumulated deficit of $452.6</w:t>
      </w:r>
      <w:r>
        <w:rPr>
          <w:rFonts w:ascii="Times New Roman" w:hAnsi="Times New Roman"/>
          <w:sz w:val="20"/>
        </w:rPr>
        <w:t xml:space="preserve"> </w:t>
      </w:r>
      <w:r>
        <w:rPr>
          <w:rFonts w:ascii="Times New Roman" w:hAnsi="Times New Roman"/>
          <w:b w:val="false"/>
          <w:sz w:val="20"/>
        </w:rPr>
        <w:t>million. Management believes that its existing cash, cash equivalents and marketable securities will enable the Company to fund its planned operations for at least 12 months following the issuance date of these consolidated financial statements. The Company has been able to fund its operations through the issuance and sale of common stock and redeemable convertible preferred stock in addition to upfront payments and research and development cost reimbursement received under the Company’s collaboration agreement with Genzyme Corporation, an affiliate of Sanofi. Future capital requirements will depend on many factors, including the timing and extent of spending on research and development and payments the Company may receive under the Sanofi collaboration agreement or future collaboration agreements, if any.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pStyle w:val="TextBody"/>
        <w:spacing w:lineRule="auto" w:line="273" w:before="360" w:after="0"/>
        <w:jc w:val="left"/>
        <w:rPr>
          <w:rFonts w:ascii="Times New Roman" w:hAnsi="Times New Roman"/>
          <w:b/>
          <w:i/>
          <w:sz w:val="20"/>
        </w:rPr>
      </w:pPr>
      <w:r>
        <w:rPr>
          <w:rFonts w:ascii="Times New Roman" w:hAnsi="Times New Roman"/>
          <w:b/>
          <w:i/>
          <w:sz w:val="20"/>
        </w:rPr>
        <w:t>Public offerings</w:t>
      </w:r>
    </w:p>
    <w:p>
      <w:pPr>
        <w:pStyle w:val="TextBody"/>
        <w:spacing w:lineRule="auto" w:line="273" w:before="120" w:after="0"/>
        <w:jc w:val="left"/>
        <w:rPr>
          <w:rFonts w:ascii="Times New Roman" w:hAnsi="Times New Roman"/>
          <w:sz w:val="20"/>
        </w:rPr>
      </w:pPr>
      <w:r>
        <w:rPr>
          <w:rFonts w:ascii="Times New Roman" w:hAnsi="Times New Roman"/>
          <w:b w:val="false"/>
          <w:sz w:val="20"/>
        </w:rPr>
        <w:t>In February 2020, the Company closed its initial public offering (IPO), and issued 16,100,000</w:t>
      </w:r>
      <w:r>
        <w:rPr>
          <w:rFonts w:ascii="Times New Roman" w:hAnsi="Times New Roman"/>
          <w:sz w:val="20"/>
        </w:rPr>
        <w:t xml:space="preserve"> </w:t>
      </w:r>
      <w:r>
        <w:rPr>
          <w:rFonts w:ascii="Times New Roman" w:hAnsi="Times New Roman"/>
          <w:b w:val="false"/>
          <w:sz w:val="20"/>
        </w:rPr>
        <w:t>shares of its common stock (including the exercise in full by the underwriters of their option to purchase an additional 2,100,000</w:t>
      </w:r>
      <w:r>
        <w:rPr>
          <w:rFonts w:ascii="Times New Roman" w:hAnsi="Times New Roman"/>
          <w:sz w:val="20"/>
        </w:rPr>
        <w:t xml:space="preserve"> </w:t>
      </w:r>
      <w:r>
        <w:rPr>
          <w:rFonts w:ascii="Times New Roman" w:hAnsi="Times New Roman"/>
          <w:b w:val="false"/>
          <w:sz w:val="20"/>
        </w:rPr>
        <w:t>shares of common stock) at a price to the public of $17.00</w:t>
      </w:r>
      <w:r>
        <w:rPr>
          <w:rFonts w:ascii="Times New Roman" w:hAnsi="Times New Roman"/>
          <w:sz w:val="20"/>
        </w:rPr>
        <w:t xml:space="preserve"> </w:t>
      </w:r>
      <w:r>
        <w:rPr>
          <w:rFonts w:ascii="Times New Roman" w:hAnsi="Times New Roman"/>
          <w:b w:val="false"/>
          <w:sz w:val="20"/>
        </w:rPr>
        <w:t>per share for net proceeds of $250.7</w:t>
      </w:r>
      <w:r>
        <w:rPr>
          <w:rFonts w:ascii="Times New Roman" w:hAnsi="Times New Roman"/>
          <w:sz w:val="20"/>
        </w:rPr>
        <w:t xml:space="preserve"> </w:t>
      </w:r>
      <w:r>
        <w:rPr>
          <w:rFonts w:ascii="Times New Roman" w:hAnsi="Times New Roman"/>
          <w:b w:val="false"/>
          <w:sz w:val="20"/>
        </w:rPr>
        <w:t>million, after deducting underwriting discounts and commissions of $19.2</w:t>
      </w:r>
      <w:r>
        <w:rPr>
          <w:rFonts w:ascii="Times New Roman" w:hAnsi="Times New Roman"/>
          <w:sz w:val="20"/>
        </w:rPr>
        <w:t xml:space="preserve"> </w:t>
      </w:r>
      <w:r>
        <w:rPr>
          <w:rFonts w:ascii="Times New Roman" w:hAnsi="Times New Roman"/>
          <w:b w:val="false"/>
          <w:sz w:val="20"/>
        </w:rPr>
        <w:t>million and expenses of $3.8</w:t>
      </w:r>
      <w:r>
        <w:rPr>
          <w:rFonts w:ascii="Times New Roman" w:hAnsi="Times New Roman"/>
          <w:sz w:val="20"/>
        </w:rPr>
        <w:t xml:space="preserve"> </w:t>
      </w:r>
      <w:r>
        <w:rPr>
          <w:rFonts w:ascii="Times New Roman" w:hAnsi="Times New Roman"/>
          <w:b w:val="false"/>
          <w:sz w:val="20"/>
        </w:rPr>
        <w:t>million.</w:t>
      </w:r>
    </w:p>
    <w:p>
      <w:pPr>
        <w:pStyle w:val="TextBody"/>
        <w:spacing w:lineRule="auto" w:line="273" w:before="240" w:after="0"/>
        <w:jc w:val="left"/>
        <w:rPr>
          <w:rFonts w:ascii="Times New Roman" w:hAnsi="Times New Roman"/>
          <w:sz w:val="20"/>
        </w:rPr>
      </w:pPr>
      <w:r>
        <w:rPr>
          <w:rFonts w:ascii="Times New Roman" w:hAnsi="Times New Roman"/>
          <w:b w:val="false"/>
          <w:sz w:val="20"/>
        </w:rPr>
        <w:t>In July 2020, the Company issued and sold 6,900,000</w:t>
      </w:r>
      <w:r>
        <w:rPr>
          <w:rFonts w:ascii="Times New Roman" w:hAnsi="Times New Roman"/>
          <w:sz w:val="20"/>
        </w:rPr>
        <w:t xml:space="preserve"> </w:t>
      </w:r>
      <w:r>
        <w:rPr>
          <w:rFonts w:ascii="Times New Roman" w:hAnsi="Times New Roman"/>
          <w:b w:val="false"/>
          <w:sz w:val="20"/>
        </w:rPr>
        <w:t>shares of its common stock in an underwritten public offering (including the exercise in full by the underwriters of their option to purchase an additional 900,000</w:t>
      </w:r>
      <w:r>
        <w:rPr>
          <w:rFonts w:ascii="Times New Roman" w:hAnsi="Times New Roman"/>
          <w:sz w:val="20"/>
        </w:rPr>
        <w:t xml:space="preserve"> </w:t>
      </w:r>
      <w:r>
        <w:rPr>
          <w:rFonts w:ascii="Times New Roman" w:hAnsi="Times New Roman"/>
          <w:b w:val="false"/>
          <w:sz w:val="20"/>
        </w:rPr>
        <w:t>shares of the Company’s common stock) at a price of $26.00</w:t>
      </w:r>
      <w:r>
        <w:rPr>
          <w:rFonts w:ascii="Times New Roman" w:hAnsi="Times New Roman"/>
          <w:sz w:val="20"/>
        </w:rPr>
        <w:t xml:space="preserve"> </w:t>
      </w:r>
      <w:r>
        <w:rPr>
          <w:rFonts w:ascii="Times New Roman" w:hAnsi="Times New Roman"/>
          <w:b w:val="false"/>
          <w:sz w:val="20"/>
        </w:rPr>
        <w:t>per share for net proceeds of $167.8</w:t>
      </w:r>
      <w:r>
        <w:rPr>
          <w:rFonts w:ascii="Times New Roman" w:hAnsi="Times New Roman"/>
          <w:sz w:val="20"/>
        </w:rPr>
        <w:t xml:space="preserve"> </w:t>
      </w:r>
      <w:r>
        <w:rPr>
          <w:rFonts w:ascii="Times New Roman" w:hAnsi="Times New Roman"/>
          <w:b w:val="false"/>
          <w:sz w:val="20"/>
        </w:rPr>
        <w:t>million, after deducting underwriting discounts and commissions of $10.8</w:t>
      </w:r>
      <w:r>
        <w:rPr>
          <w:rFonts w:ascii="Times New Roman" w:hAnsi="Times New Roman"/>
          <w:sz w:val="20"/>
        </w:rPr>
        <w:t xml:space="preserve"> </w:t>
      </w:r>
      <w:r>
        <w:rPr>
          <w:rFonts w:ascii="Times New Roman" w:hAnsi="Times New Roman"/>
          <w:b w:val="false"/>
          <w:sz w:val="20"/>
        </w:rPr>
        <w:t>million and expenses of $0.8</w:t>
      </w:r>
      <w:r>
        <w:rPr>
          <w:rFonts w:ascii="Times New Roman" w:hAnsi="Times New Roman"/>
          <w:sz w:val="20"/>
        </w:rPr>
        <w:t xml:space="preserve"> </w:t>
      </w:r>
      <w:r>
        <w:rPr>
          <w:rFonts w:ascii="Times New Roman" w:hAnsi="Times New Roman"/>
          <w:b w:val="false"/>
          <w:sz w:val="20"/>
        </w:rPr>
        <w:t>million.</w:t>
      </w:r>
    </w:p>
    <w:p>
      <w:pPr>
        <w:pStyle w:val="TextBody"/>
        <w:spacing w:lineRule="auto" w:line="273" w:before="240" w:after="0"/>
        <w:jc w:val="left"/>
        <w:rPr>
          <w:rFonts w:ascii="Times New Roman" w:hAnsi="Times New Roman"/>
          <w:sz w:val="20"/>
        </w:rPr>
      </w:pPr>
      <w:r>
        <w:rPr>
          <w:rFonts w:ascii="Times New Roman" w:hAnsi="Times New Roman"/>
          <w:b w:val="false"/>
          <w:sz w:val="20"/>
        </w:rPr>
        <w:t>In February 2021, the Company issued and sold 6,666,666</w:t>
      </w:r>
      <w:r>
        <w:rPr>
          <w:rFonts w:ascii="Times New Roman" w:hAnsi="Times New Roman"/>
          <w:sz w:val="20"/>
        </w:rPr>
        <w:t xml:space="preserve"> </w:t>
      </w:r>
      <w:r>
        <w:rPr>
          <w:rFonts w:ascii="Times New Roman" w:hAnsi="Times New Roman"/>
          <w:b w:val="false"/>
          <w:sz w:val="20"/>
        </w:rPr>
        <w:t>shares of its common stock in an underwritten public offering at a price of $45.00</w:t>
      </w:r>
      <w:r>
        <w:rPr>
          <w:rFonts w:ascii="Times New Roman" w:hAnsi="Times New Roman"/>
          <w:sz w:val="20"/>
        </w:rPr>
        <w:t xml:space="preserve"> </w:t>
      </w:r>
      <w:r>
        <w:rPr>
          <w:rFonts w:ascii="Times New Roman" w:hAnsi="Times New Roman"/>
          <w:b w:val="false"/>
          <w:sz w:val="20"/>
        </w:rPr>
        <w:t>per share (including the exercise in full by the underwriters of their option to purchase an additional 869,565</w:t>
      </w:r>
      <w:r>
        <w:rPr>
          <w:rFonts w:ascii="Times New Roman" w:hAnsi="Times New Roman"/>
          <w:sz w:val="20"/>
        </w:rPr>
        <w:t xml:space="preserve"> </w:t>
      </w:r>
      <w:r>
        <w:rPr>
          <w:rFonts w:ascii="Times New Roman" w:hAnsi="Times New Roman"/>
          <w:b w:val="false"/>
          <w:sz w:val="20"/>
        </w:rPr>
        <w:t>shares of its common stock) for net proceeds of $281.3</w:t>
      </w:r>
      <w:r>
        <w:rPr>
          <w:rFonts w:ascii="Times New Roman" w:hAnsi="Times New Roman"/>
          <w:sz w:val="20"/>
        </w:rPr>
        <w:t xml:space="preserve"> </w:t>
      </w:r>
      <w:r>
        <w:rPr>
          <w:rFonts w:ascii="Times New Roman" w:hAnsi="Times New Roman"/>
          <w:b w:val="false"/>
          <w:sz w:val="20"/>
        </w:rPr>
        <w:t>million, after deducting underwriting discounts and commissions of $18.0</w:t>
      </w:r>
      <w:r>
        <w:rPr>
          <w:rFonts w:ascii="Times New Roman" w:hAnsi="Times New Roman"/>
          <w:sz w:val="20"/>
        </w:rPr>
        <w:t xml:space="preserve"> </w:t>
      </w:r>
      <w:r>
        <w:rPr>
          <w:rFonts w:ascii="Times New Roman" w:hAnsi="Times New Roman"/>
          <w:b w:val="false"/>
          <w:sz w:val="20"/>
        </w:rPr>
        <w:t>million and expenses of $0.9</w:t>
      </w:r>
      <w:r>
        <w:rPr>
          <w:rFonts w:ascii="Times New Roman" w:hAnsi="Times New Roman"/>
          <w:sz w:val="20"/>
        </w:rPr>
        <w:t xml:space="preserve"> </w:t>
      </w:r>
      <w:r>
        <w:rPr>
          <w:rFonts w:ascii="Times New Roman" w:hAnsi="Times New Roman"/>
          <w:b w:val="false"/>
          <w:sz w:val="20"/>
        </w:rPr>
        <w:t>million</w:t>
      </w:r>
    </w:p>
    <w:p>
      <w:pPr>
        <w:pStyle w:val="TextBody"/>
        <w:spacing w:lineRule="auto" w:line="273" w:before="240" w:after="0"/>
        <w:jc w:val="left"/>
        <w:rPr>
          <w:rFonts w:ascii="Times New Roman" w:hAnsi="Times New Roman"/>
          <w:sz w:val="20"/>
        </w:rPr>
      </w:pPr>
      <w:r>
        <w:rPr>
          <w:rFonts w:ascii="Times New Roman" w:hAnsi="Times New Roman"/>
          <w:b w:val="false"/>
          <w:sz w:val="20"/>
        </w:rPr>
        <w:t>In November 2021, the Company entered into a sales agreement with Cowen and Company, LLC (Cowen) to sell shares of its common stock, from time to time, with aggregate gross proceeds of up to $250</w:t>
      </w:r>
      <w:r>
        <w:rPr>
          <w:rFonts w:ascii="Times New Roman" w:hAnsi="Times New Roman"/>
          <w:sz w:val="20"/>
        </w:rPr>
        <w:t xml:space="preserve"> </w:t>
      </w:r>
      <w:r>
        <w:rPr>
          <w:rFonts w:ascii="Times New Roman" w:hAnsi="Times New Roman"/>
          <w:b w:val="false"/>
          <w:sz w:val="20"/>
        </w:rPr>
        <w:t>million, through an at-the-market equity offering program (ATM). From November 2021 to December 31, 2021, the Company sold an aggregate of 339,302</w:t>
      </w:r>
      <w:r>
        <w:rPr>
          <w:rFonts w:ascii="Times New Roman" w:hAnsi="Times New Roman"/>
          <w:sz w:val="20"/>
        </w:rPr>
        <w:t xml:space="preserve"> </w:t>
      </w:r>
      <w:r>
        <w:rPr>
          <w:rFonts w:ascii="Times New Roman" w:hAnsi="Times New Roman"/>
          <w:b w:val="false"/>
          <w:sz w:val="20"/>
        </w:rPr>
        <w:t>shares of common stock under the ATM resulting in gross proceeds of $10.4</w:t>
      </w:r>
      <w:r>
        <w:rPr>
          <w:rFonts w:ascii="Times New Roman" w:hAnsi="Times New Roman"/>
          <w:sz w:val="20"/>
        </w:rPr>
        <w:t xml:space="preserve"> </w:t>
      </w:r>
      <w:r>
        <w:rPr>
          <w:rFonts w:ascii="Times New Roman" w:hAnsi="Times New Roman"/>
          <w:b w:val="false"/>
          <w:sz w:val="20"/>
        </w:rPr>
        <w:t>million. After deducting commissions and expenses of $0.3</w:t>
      </w:r>
      <w:r>
        <w:rPr>
          <w:rFonts w:ascii="Times New Roman" w:hAnsi="Times New Roman"/>
          <w:sz w:val="20"/>
        </w:rPr>
        <w:t xml:space="preserve"> </w:t>
      </w:r>
      <w:r>
        <w:rPr>
          <w:rFonts w:ascii="Times New Roman" w:hAnsi="Times New Roman"/>
          <w:b w:val="false"/>
          <w:sz w:val="20"/>
        </w:rPr>
        <w:t>million, net proceeds to the Company were $10.1</w:t>
      </w:r>
      <w:r>
        <w:rPr>
          <w:rFonts w:ascii="Times New Roman" w:hAnsi="Times New Roman"/>
          <w:sz w:val="20"/>
        </w:rPr>
        <w:t xml:space="preserve"> </w:t>
      </w:r>
      <w:r>
        <w:rPr>
          <w:rFonts w:ascii="Times New Roman" w:hAnsi="Times New Roman"/>
          <w:b w:val="false"/>
          <w:sz w:val="20"/>
        </w:rPr>
        <w:t>million.</w:t>
      </w:r>
    </w:p>
    <w:p>
      <w:pPr>
        <w:pStyle w:val="TextBody"/>
        <w:spacing w:lineRule="auto" w:line="273" w:before="360" w:after="0"/>
        <w:jc w:val="left"/>
        <w:rPr>
          <w:rFonts w:ascii="Times New Roman" w:hAnsi="Times New Roman"/>
          <w:b/>
          <w:sz w:val="20"/>
        </w:rPr>
      </w:pPr>
      <w:r>
        <w:rPr>
          <w:rFonts w:ascii="Times New Roman" w:hAnsi="Times New Roman"/>
          <w:b/>
          <w:sz w:val="20"/>
        </w:rPr>
        <w:t>2.</w:t>
      </w:r>
    </w:p>
    <w:p>
      <w:pPr>
        <w:pStyle w:val="TextBody"/>
        <w:spacing w:lineRule="auto" w:line="273" w:before="360" w:after="283"/>
        <w:jc w:val="left"/>
        <w:rPr>
          <w:rFonts w:ascii="Times New Roman" w:hAnsi="Times New Roman"/>
          <w:b/>
          <w:sz w:val="20"/>
        </w:rPr>
      </w:pPr>
      <w:r>
        <w:rPr>
          <w:rFonts w:ascii="Times New Roman" w:hAnsi="Times New Roman"/>
          <w:b/>
          <w:sz w:val="20"/>
        </w:rPr>
        <w:t>Summary of significant accounting policies</w:t>
      </w:r>
    </w:p>
    <w:p>
      <w:pPr>
        <w:pStyle w:val="TextBody"/>
        <w:spacing w:lineRule="auto" w:line="273" w:before="120" w:after="0"/>
        <w:jc w:val="left"/>
        <w:rPr>
          <w:rFonts w:ascii="Times New Roman" w:hAnsi="Times New Roman"/>
          <w:sz w:val="20"/>
        </w:rPr>
      </w:pPr>
      <w:r>
        <w:rPr>
          <w:rFonts w:ascii="Times New Roman" w:hAnsi="Times New Roman"/>
          <w:b/>
          <w:i/>
          <w:sz w:val="20"/>
        </w:rPr>
        <w:t>Basis of presentation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consolidated financial statements have been prepared in conformity with generally accepted accounting principles in the United States (GAAP) and applicable rules of the Securities and Exchange Commission (SEC) regarding financial reporting</w:t>
      </w:r>
      <w:r>
        <w:rPr>
          <w:rFonts w:ascii="Times New Roman" w:hAnsi="Times New Roman"/>
          <w:sz w:val="20"/>
        </w:rPr>
        <w:t xml:space="preserve"> </w:t>
      </w:r>
      <w:r>
        <w:rPr>
          <w:rFonts w:ascii="Times New Roman" w:hAnsi="Times New Roman"/>
          <w:b w:val="false"/>
          <w:sz w:val="20"/>
        </w:rPr>
        <w:t>and, in the opinion of management, include all normal and recurring adjustments which are necessary to state fairly the Company's financial position and results of operations for the reported periods. The consolidated financial statements for the years ended December 31, 2021, 2020 and 2019</w:t>
      </w:r>
      <w:r>
        <w:rPr>
          <w:rFonts w:ascii="Times New Roman" w:hAnsi="Times New Roman"/>
          <w:sz w:val="20"/>
        </w:rPr>
        <w:t xml:space="preserve"> </w:t>
      </w:r>
      <w:r>
        <w:rPr>
          <w:rFonts w:ascii="Times New Roman" w:hAnsi="Times New Roman"/>
          <w:b w:val="false"/>
          <w:sz w:val="20"/>
        </w:rPr>
        <w:t>include the accounts of the Company and its wholly owned subsidiary, Warp Drive Bio, Inc. (Warp Drive). All intercompany balances and transactions have been eliminated in consolidation. The functional and reporting currency of the Company and its subsidiary is the U.S. dollar.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Reverse stock split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February 7, 2020, the Company amended and restated its amended and restated certificate of incorporation to effect a 1-for-4.8661</w:t>
      </w:r>
      <w:r>
        <w:rPr>
          <w:rFonts w:ascii="Times New Roman" w:hAnsi="Times New Roman"/>
          <w:sz w:val="20"/>
        </w:rPr>
        <w:t xml:space="preserve"> </w:t>
      </w:r>
      <w:r>
        <w:rPr>
          <w:rFonts w:ascii="Times New Roman" w:hAnsi="Times New Roman"/>
          <w:b w:val="false"/>
          <w:sz w:val="20"/>
        </w:rPr>
        <w:t>reverse stock split of the Company’s common stock and redeemable convertible preferred stock.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Use of estimates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income taxes, useful lives of property and equipment and intangible assets, impairment of goodwill and intangibles, the incremental borrowing rate for determining operating lease assets and liabilities, and stock-based compensation. The extent to which the COVID-19 pandemic may directly or indirectly impact the Company’s business, financial condition and results of operations is highly uncertain and subject to change. The Company considered the potential impact of the COVID-19 pandemic on its estimates and assumptions and there was not a material impact to the Company’s consolidated financial statements as of and for the twelve months ended December 31, 2021. Actual results could materially differ from the Company’s estimates, and there may be changes to the estimates in future periods.</w:t>
      </w:r>
    </w:p>
    <w:p>
      <w:pPr>
        <w:pStyle w:val="TextBody"/>
        <w:spacing w:lineRule="auto" w:line="273" w:before="360" w:after="0"/>
        <w:jc w:val="left"/>
        <w:rPr>
          <w:rFonts w:ascii="Times New Roman" w:hAnsi="Times New Roman"/>
          <w:sz w:val="20"/>
        </w:rPr>
      </w:pPr>
      <w:r>
        <w:rPr>
          <w:rFonts w:ascii="Times New Roman" w:hAnsi="Times New Roman"/>
          <w:b/>
          <w:i/>
          <w:sz w:val="20"/>
        </w:rPr>
        <w:t>Cash and cash equivalents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considers all highly liquid investments purchased with original maturities of three months or less at the date of purchase to be cash equivalents. As of December 31, 2021 and 2020, cash equivalents consist of amounts invested in money market funds and investments in U.S. government agency bonds, commercial paper and corporate bonds with original maturities of three months or less at the date of purchase.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Marketable securities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Investments in marketable securities primarily consist of U.S. government debt securities, U.S. government agency bonds, commercial paper and corporate bonds. The Company has classified its marketable securities as available-for-sale and may sell these securities prior to their stated maturities. The Company views these marketable securities as available to support current operations and classifies marketable securities with maturities beyond 12 months as current assets. The Company’s investments in marketable securities are carried at estimated fair value, which is derived from independent pricing sources based on quoted prices in active markets for similar securities. Unrealized gains and losses are reported as a component of accumulated other comprehensive loss. The amortized cost of marketable securities is adjusted for amortization of premiums and accretion of discounts to maturity, which is included in interest income on the consolidated statements of operations. Realized gains and losses are included in interest income on the consolidated statements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periodically evaluates its investments to assess whether those with unrealized loss positions are other than temporarily impaired. The Company considers various factors in determining whether to recognize an impairment charge. If the Company determines that the decline in an investment’s fair value is other-than-temporary, the difference is recognized as an impairment loss in the consolidated statements of operations. As of December 31, 2021, no</w:t>
      </w:r>
      <w:r>
        <w:rPr>
          <w:rFonts w:ascii="Times New Roman" w:hAnsi="Times New Roman"/>
          <w:sz w:val="20"/>
        </w:rPr>
        <w:t xml:space="preserve"> </w:t>
      </w:r>
      <w:r>
        <w:rPr>
          <w:rFonts w:ascii="Times New Roman" w:hAnsi="Times New Roman"/>
          <w:b w:val="false"/>
          <w:sz w:val="20"/>
        </w:rPr>
        <w:t>other-than-temporary-impairment has been recorded.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Restricted cash</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of December 31, 2021 and 2020, the Company had $1.7</w:t>
      </w:r>
      <w:r>
        <w:rPr>
          <w:rFonts w:ascii="Times New Roman" w:hAnsi="Times New Roman"/>
          <w:sz w:val="20"/>
        </w:rPr>
        <w:t xml:space="preserve"> </w:t>
      </w:r>
      <w:r>
        <w:rPr>
          <w:rFonts w:ascii="Times New Roman" w:hAnsi="Times New Roman"/>
          <w:b w:val="false"/>
          <w:sz w:val="20"/>
        </w:rPr>
        <w:t>million and $1.1</w:t>
      </w:r>
      <w:r>
        <w:rPr>
          <w:rFonts w:ascii="Times New Roman" w:hAnsi="Times New Roman"/>
          <w:sz w:val="20"/>
        </w:rPr>
        <w:t xml:space="preserve"> </w:t>
      </w:r>
      <w:r>
        <w:rPr>
          <w:rFonts w:ascii="Times New Roman" w:hAnsi="Times New Roman"/>
          <w:b w:val="false"/>
          <w:sz w:val="20"/>
        </w:rPr>
        <w:t>million, respectively, of noncurrent restricted cash related to Company issued letters of credit in connection with leases. These amounts are held in separate bank accounts to support letter of credit agreements for the leases.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Concentration of credit risk and other risks and uncertainties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Financial instruments that potentially subject the Company to concentration of credit risk consist of cash, cash equivalents and marketable securities. The Company’s cash is held by two financial institution in the United States, which management believes to be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of high credit quality. The Company invests in money market funds, U.S. government debt securities, U.S. government agency bonds, commercial paper and corporate bonds. The Company has not experienced any losses on its deposits of cash and cash equivalents.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is subject to credit risk as its receivable and collaboration revenue are entirely related to its collaboration agreement with Sanofi. See Note 8, “Sanofi collaboration agreement.”</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Company’s clinical trial sites may be affected by the COVID-19 outbreak due to prioritization of hospital resources toward the COVID-19 outbreak, travel or quarantine restrictions imposed by governments, and the inability to access sites for initiation and patient monitoring and enrollment. As a result, patient screening, new patient enrollment, monitoring and data collection may be affected or delayed. The Company is aware that several clinical sites involved in its clinical studies temporarily stopped or delayed enrolling new patients, with exemptions if appropriate, and it is possible that these or other clinical sites may be similarly affected in the future. These developments may delay the Company’s clinical trial timelines. Some of the Company’s third-party manufacturers which it uses for the supply of materials for product candidates or other materials necessary to manufacture product to conduct preclinical tests and clinical trials and contract research organizations may be impacted by COVID-19, and should they experience disruptions, such as temporary closures or suspension of services, the Company would likely experience delays in advancing clinical trials.</w:t>
      </w:r>
    </w:p>
    <w:p>
      <w:pPr>
        <w:pStyle w:val="TextBody"/>
        <w:spacing w:lineRule="auto" w:line="273" w:before="360" w:after="0"/>
        <w:jc w:val="left"/>
        <w:rPr>
          <w:rFonts w:ascii="Times New Roman" w:hAnsi="Times New Roman"/>
          <w:sz w:val="20"/>
        </w:rPr>
      </w:pPr>
      <w:r>
        <w:rPr>
          <w:rFonts w:ascii="Times New Roman" w:hAnsi="Times New Roman"/>
          <w:b/>
          <w:i/>
          <w:sz w:val="20"/>
        </w:rPr>
        <w:t>Fair value measurement</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carrying amounts of the Company’s certain financial instruments, including cash equivalents, accounts payable and accrued expenses and other current liabilities approximate fair value due to their relatively short maturities and market interest rates, if applicable.</w:t>
      </w:r>
    </w:p>
    <w:p>
      <w:pPr>
        <w:pStyle w:val="TextBody"/>
        <w:spacing w:lineRule="auto" w:line="273" w:before="240" w:after="0"/>
        <w:jc w:val="left"/>
        <w:rPr>
          <w:rFonts w:ascii="Times New Roman" w:hAnsi="Times New Roman"/>
          <w:sz w:val="20"/>
        </w:rPr>
      </w:pPr>
      <w:r>
        <w:rPr>
          <w:rFonts w:ascii="Times New Roman" w:hAnsi="Times New Roman"/>
          <w:b w:val="false"/>
          <w:sz w:val="20"/>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Level 1—Observable inputs such as unadjusted, quoted prices in active markets for identical assets or liabilities at the measurement date;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Level 3—Unobservable inputs that are supported by little or no market activity and that are significant to the fair value of the assets or liabilities.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Property and equipment, net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Property and equipment are stated at cost less accumulated depreciation and amortization. Depreciation is computed on a straight-line basis over the estimated useful lives of the related assets, which is generally three</w:t>
      </w:r>
      <w:r>
        <w:rPr>
          <w:rFonts w:ascii="Times New Roman" w:hAnsi="Times New Roman"/>
          <w:sz w:val="20"/>
        </w:rPr>
        <w:t xml:space="preserve"> </w:t>
      </w:r>
      <w:r>
        <w:rPr>
          <w:rFonts w:ascii="Times New Roman" w:hAnsi="Times New Roman"/>
          <w:b w:val="false"/>
          <w:sz w:val="20"/>
        </w:rPr>
        <w:t>to five years. Leasehold improvements are amortized using the straight-line method over the shorter of the assets’ estimated useful lives or the remaining term of the lease. Maintenance and repairs are charged to operations as incurred. Upon sale or retirement of assets, the cost and related accumulated depreciation are removed from the consolidated balance sheet and the resulting gain or loss is reflected in the consolidated statement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Useful lives of property and equipment are as follows:</w:t>
      </w:r>
      <w:r>
        <w:rPr>
          <w:rFonts w:ascii="Times New Roman" w:hAnsi="Times New Roman"/>
          <w:sz w:val="20"/>
        </w:rPr>
        <w:t xml:space="preserve"> </w:t>
      </w:r>
    </w:p>
    <w:p>
      <w:pPr>
        <w:pStyle w:val="TextBody"/>
        <w:spacing w:lineRule="auto" w:line="273" w:before="0" w:after="0"/>
        <w:jc w:val="left"/>
        <w:rPr/>
      </w:pPr>
      <w:r>
        <w:rPr/>
        <w:t> </w:t>
      </w:r>
    </w:p>
    <w:tbl>
      <w:tblPr>
        <w:tblW w:w="7543" w:type="dxa"/>
        <w:jc w:val="left"/>
        <w:tblInd w:w="0" w:type="dxa"/>
        <w:tblCellMar>
          <w:top w:w="28" w:type="dxa"/>
          <w:left w:w="28" w:type="dxa"/>
          <w:bottom w:w="28" w:type="dxa"/>
          <w:right w:w="28" w:type="dxa"/>
        </w:tblCellMar>
      </w:tblPr>
      <w:tblGrid>
        <w:gridCol w:w="2911"/>
        <w:gridCol w:w="146"/>
        <w:gridCol w:w="4486"/>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86" w:type="dxa"/>
            <w:tcBorders/>
            <w:shd w:fill="auto" w:val="clear"/>
            <w:vAlign w:val="center"/>
          </w:tcPr>
          <w:p>
            <w:pPr>
              <w:pStyle w:val="TableContents"/>
              <w:spacing w:before="0" w:after="283"/>
              <w:rPr>
                <w:sz w:val="4"/>
                <w:szCs w:val="4"/>
              </w:rPr>
            </w:pPr>
            <w:r>
              <w:rPr>
                <w:sz w:val="4"/>
                <w:szCs w:val="4"/>
              </w:rPr>
            </w:r>
          </w:p>
        </w:tc>
      </w:tr>
      <w:tr>
        <w:trPr/>
        <w:tc>
          <w:tcPr>
            <w:tcW w:w="29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Property and equipment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4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Estimated useful life</w:t>
            </w:r>
          </w:p>
        </w:tc>
      </w:tr>
      <w:tr>
        <w:trPr/>
        <w:tc>
          <w:tcPr>
            <w:tcW w:w="29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Laboratory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4-5 years</w:t>
            </w:r>
          </w:p>
        </w:tc>
      </w:tr>
      <w:tr>
        <w:trPr/>
        <w:tc>
          <w:tcPr>
            <w:tcW w:w="29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Lesser of estimated useful life or remaining lease term</w:t>
            </w:r>
          </w:p>
        </w:tc>
      </w:tr>
      <w:tr>
        <w:trPr/>
        <w:tc>
          <w:tcPr>
            <w:tcW w:w="29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Computer equipment and software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 years</w:t>
            </w:r>
          </w:p>
        </w:tc>
      </w:tr>
      <w:tr>
        <w:trPr/>
        <w:tc>
          <w:tcPr>
            <w:tcW w:w="29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4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5 years</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i/>
          <w:sz w:val="20"/>
        </w:rPr>
      </w:pPr>
      <w:r>
        <w:rPr>
          <w:rFonts w:ascii="Times New Roman" w:hAnsi="Times New Roman"/>
          <w:b/>
          <w:i/>
          <w:sz w:val="20"/>
        </w:rPr>
        <w:t>Leases</w:t>
      </w:r>
    </w:p>
    <w:p>
      <w:pPr>
        <w:pStyle w:val="TextBody"/>
        <w:spacing w:lineRule="auto" w:line="273" w:before="120" w:after="0"/>
        <w:jc w:val="left"/>
        <w:rPr>
          <w:rFonts w:ascii="Times New Roman" w:hAnsi="Times New Roman"/>
          <w:sz w:val="20"/>
        </w:rPr>
      </w:pPr>
      <w:r>
        <w:rPr>
          <w:rFonts w:ascii="Times New Roman" w:hAnsi="Times New Roman"/>
          <w:b w:val="false"/>
          <w:sz w:val="20"/>
        </w:rPr>
        <w:t>On January 1, 2020, the Company adopted ASU 2016-02, Leases (Topic 842). For its operating leases with a term greater than twelve months, the Company recognizes a right-of-use asset and a lease liability on its consolidated balance sheets. The Company adopted the new standard using the modified retrospective approach, which resulted in the initial recognition of a lease liability of $11.5</w:t>
      </w:r>
      <w:r>
        <w:rPr>
          <w:rFonts w:ascii="Times New Roman" w:hAnsi="Times New Roman"/>
          <w:sz w:val="20"/>
        </w:rPr>
        <w:t xml:space="preserve"> </w:t>
      </w:r>
      <w:r>
        <w:rPr>
          <w:rFonts w:ascii="Times New Roman" w:hAnsi="Times New Roman"/>
          <w:b w:val="false"/>
          <w:sz w:val="20"/>
        </w:rPr>
        <w:t>million, and a right</w:t>
        <w:noBreakHyphen/>
        <w:t>to</w:t>
        <w:noBreakHyphen/>
        <w:t>use asset of $9.1</w:t>
      </w:r>
      <w:r>
        <w:rPr>
          <w:rFonts w:ascii="Times New Roman" w:hAnsi="Times New Roman"/>
          <w:sz w:val="20"/>
        </w:rPr>
        <w:t xml:space="preserve"> </w:t>
      </w:r>
      <w:r>
        <w:rPr>
          <w:rFonts w:ascii="Times New Roman" w:hAnsi="Times New Roman"/>
          <w:b w:val="false"/>
          <w:sz w:val="20"/>
        </w:rPr>
        <w:t>million, with no</w:t>
      </w:r>
      <w:r>
        <w:rPr>
          <w:rFonts w:ascii="Times New Roman" w:hAnsi="Times New Roman"/>
          <w:sz w:val="20"/>
        </w:rPr>
        <w:t xml:space="preserve"> </w:t>
      </w:r>
      <w:r>
        <w:rPr>
          <w:rFonts w:ascii="Times New Roman" w:hAnsi="Times New Roman"/>
          <w:b w:val="false"/>
          <w:sz w:val="20"/>
        </w:rPr>
        <w:t>adjustment to the accumulated deficit balance. In connection with the lease adoption, the Company also derecognized deferred rent of $2.4</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Company determines if an arrangement is, or contains, a lease at inception and then classifies the lease as operating or financing based on the underlying terms and conditions of the contract. Leases with terms greater than one year are initially recognized on the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of the applicable country or region. Variable lease payments are excluded from the right-of-use assets and operating lease liabilities and are recognized in the period in which the obligation for those payments is incurred. Leases with a term of 12 months or less are not recognized on the consolidated balance sheets.</w:t>
      </w:r>
    </w:p>
    <w:p>
      <w:pPr>
        <w:pStyle w:val="TextBody"/>
        <w:spacing w:lineRule="auto" w:line="273" w:before="360" w:after="0"/>
        <w:jc w:val="left"/>
        <w:rPr>
          <w:rFonts w:ascii="Times New Roman" w:hAnsi="Times New Roman"/>
          <w:sz w:val="20"/>
        </w:rPr>
      </w:pPr>
      <w:r>
        <w:rPr>
          <w:rFonts w:ascii="Times New Roman" w:hAnsi="Times New Roman"/>
          <w:b/>
          <w:i/>
          <w:sz w:val="20"/>
        </w:rPr>
        <w:t>Impairment of long-lived assets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Long-lived assets are reviewed for indications of possible impairment whenever events or changes in circumstances indicate that the carrying amount of an asset or asset group may not be recoverable. Recoverability is measured by comparison of the carrying amounts of the asset group to the future undiscounted cash flows attributable to these assets. An impairment loss is recognized to the extent an asset group is not recoverable, and the carrying amount exceeds the projected discounted future cash flows arising from these assets. There were no</w:t>
      </w:r>
      <w:r>
        <w:rPr>
          <w:rFonts w:ascii="Times New Roman" w:hAnsi="Times New Roman"/>
          <w:sz w:val="20"/>
        </w:rPr>
        <w:t xml:space="preserve"> </w:t>
      </w:r>
      <w:r>
        <w:rPr>
          <w:rFonts w:ascii="Times New Roman" w:hAnsi="Times New Roman"/>
          <w:b w:val="false"/>
          <w:sz w:val="20"/>
        </w:rPr>
        <w:t>impairments of long-lived assets for any of the periods presented.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Acquired intangible assets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Indefinite-lived intangible assets represent the estimated fair value assigned to in-process research and development (IPR&amp;D) acquired in a business combination. The Company reviews indefinite-lived intangible assets for impairment at least annually or more frequently if events or changes in circumstances indicate that the carrying value of the assets might not be recoverable. If the carrying value of an indefinite-lived intangible asset exceeds its fair value, then it is written down to its adjusted fair value. As of December 31, 2021, there have been no</w:t>
      </w:r>
      <w:r>
        <w:rPr>
          <w:rFonts w:ascii="Times New Roman" w:hAnsi="Times New Roman"/>
          <w:sz w:val="20"/>
        </w:rPr>
        <w:t xml:space="preserve"> </w:t>
      </w:r>
      <w:r>
        <w:rPr>
          <w:rFonts w:ascii="Times New Roman" w:hAnsi="Times New Roman"/>
          <w:b w:val="false"/>
          <w:sz w:val="20"/>
        </w:rPr>
        <w:t>such impairments. For IPR&amp;D, if a product candidate derived from the indefinite-lived intangible asset is developed and commercialized, the useful life will be determined, and the carrying value will be amortized prospectively over that estimated useful life. Alternatively, if a product candidate is abandoned, the carrying value of the intangible asset will be charged to research and development expenses in the consolidated statements of operations.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Finite-lived intangible assets acquired in a business combination are recognized separately from goodwill and are initially recognized at their fair value at the acquisition date and are carried at cost less accumulated amortization and impairment. Amortization is computed using the straight-line method over the estimated useful lives of the respective finite-lived intangible assets and is included in research and development expenses in the consolidated statement of operations. Intangible assets are reviewed for impairment at least annually or more frequently if indicators of potential impairment exist. As of December 31, 2021, no</w:t>
      </w:r>
      <w:r>
        <w:rPr>
          <w:rFonts w:ascii="Times New Roman" w:hAnsi="Times New Roman"/>
          <w:sz w:val="20"/>
        </w:rPr>
        <w:t xml:space="preserve"> </w:t>
      </w:r>
      <w:r>
        <w:rPr>
          <w:rFonts w:ascii="Times New Roman" w:hAnsi="Times New Roman"/>
          <w:b w:val="false"/>
          <w:sz w:val="20"/>
        </w:rPr>
        <w:t>such impairment has been recorded.</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Goodwill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Goodwill represents the excess of the purchase price over the estimated fair value of the net tangible and intangible assets acquired in a business combination. The Company reviews goodwill for impairment at least annually or more frequently if events or changes in circumstances indicate that the carrying value of goodwill may not be recoverable.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it is determined that it is more likely than not that its fair value is less than its carrying amount, the fair value of the Company’s single reporting unit is compared to its carrying value. Any excess of the goodwill carrying amount over the fair value is recognized as an impairment loss, and the carrying value of goodwill is written down to fair value. As of December 31, 2021, no</w:t>
      </w:r>
      <w:r>
        <w:rPr>
          <w:rFonts w:ascii="Times New Roman" w:hAnsi="Times New Roman"/>
          <w:sz w:val="20"/>
        </w:rPr>
        <w:t xml:space="preserve"> </w:t>
      </w:r>
      <w:r>
        <w:rPr>
          <w:rFonts w:ascii="Times New Roman" w:hAnsi="Times New Roman"/>
          <w:b w:val="false"/>
          <w:sz w:val="20"/>
        </w:rPr>
        <w:t>goodwill impairment has been identified.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Times New Roman" w:hAnsi="Times New Roman"/>
          <w:b/>
          <w:i/>
          <w:sz w:val="20"/>
        </w:rPr>
        <w:t>Redeemable convertible preferred stock</w:t>
      </w:r>
      <w:r>
        <w:rPr>
          <w:rFonts w:ascii="Times New Roman" w:hAnsi="Times New Roman"/>
          <w:sz w:val="20"/>
        </w:rPr>
        <w:t xml:space="preserve"> </w:t>
      </w:r>
    </w:p>
    <w:p>
      <w:pPr>
        <w:pStyle w:val="TextBody"/>
        <w:spacing w:lineRule="auto" w:line="261" w:before="120" w:after="0"/>
        <w:jc w:val="left"/>
        <w:rPr>
          <w:rFonts w:ascii="Times New Roman" w:hAnsi="Times New Roman"/>
          <w:sz w:val="20"/>
        </w:rPr>
      </w:pPr>
      <w:r>
        <w:rPr>
          <w:rFonts w:ascii="Times New Roman" w:hAnsi="Times New Roman"/>
          <w:b w:val="false"/>
          <w:sz w:val="20"/>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the event of certain events considered not solely within the Company’s control, such as a merger, acquisition or sale of all or substantially all of the Company’s assets (each, a “deemed liquidation event”), the redeemable convertible preferred stock would have become redeemable at the option of the holders of at least a majority of the then outstanding such shares. The Company did not adjust the carrying values of the redeemable convertible preferred stock to the liquidation preferences of such shares because it was uncertain whether or when a deemed liquidation event would occur that would obligate the Company to pay the liquidation preferences to holders of shares of redeemable convertible preferred stock.</w:t>
      </w:r>
      <w:r>
        <w:rPr>
          <w:rFonts w:ascii="Times New Roman" w:hAnsi="Times New Roman"/>
          <w:sz w:val="20"/>
        </w:rPr>
        <w:t xml:space="preserve"> </w:t>
      </w:r>
    </w:p>
    <w:p>
      <w:pPr>
        <w:pStyle w:val="TextBody"/>
        <w:spacing w:lineRule="auto" w:line="261" w:before="360" w:after="0"/>
        <w:jc w:val="left"/>
        <w:rPr>
          <w:rFonts w:ascii="Times New Roman" w:hAnsi="Times New Roman"/>
          <w:sz w:val="20"/>
        </w:rPr>
      </w:pPr>
      <w:r>
        <w:rPr>
          <w:rFonts w:ascii="Times New Roman" w:hAnsi="Times New Roman"/>
          <w:b/>
          <w:i/>
          <w:sz w:val="20"/>
        </w:rPr>
        <w:t>Revenue recognition</w:t>
      </w:r>
      <w:r>
        <w:rPr>
          <w:rFonts w:ascii="Times New Roman" w:hAnsi="Times New Roman"/>
          <w:sz w:val="20"/>
        </w:rPr>
        <w:t xml:space="preserve"> </w:t>
      </w:r>
    </w:p>
    <w:p>
      <w:pPr>
        <w:pStyle w:val="TextBody"/>
        <w:spacing w:lineRule="auto" w:line="261" w:before="120" w:after="0"/>
        <w:jc w:val="left"/>
        <w:rPr>
          <w:rFonts w:ascii="Times New Roman" w:hAnsi="Times New Roman"/>
          <w:sz w:val="20"/>
        </w:rPr>
      </w:pPr>
      <w:r>
        <w:rPr>
          <w:rFonts w:ascii="Times New Roman" w:hAnsi="Times New Roman"/>
          <w:b w:val="false"/>
          <w:sz w:val="20"/>
        </w:rPr>
        <w:t>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val="false"/>
          <w:sz w:val="20"/>
        </w:rPr>
        <w:t>The Company enters into collaboration agreements under which it may obtain upfront license fees, research and development funding, and development, regulatory and commercial milestone payments and royalty payments. The Company’s performance obligations under these arrangements may include licenses of intellectual property, sales and distribution rights, research and development services, delivery of manufactured product and/or participation on joint steering committees.</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val="false"/>
          <w:i/>
          <w:sz w:val="20"/>
        </w:rPr>
        <w:t xml:space="preserve">Licenses of intellectual property: </w:t>
      </w:r>
      <w:r>
        <w:rPr>
          <w:rFonts w:ascii="Times New Roman" w:hAnsi="Times New Roman"/>
          <w:b w:val="false"/>
          <w:sz w:val="20"/>
        </w:rPr>
        <w:t>If the license to the Company’s intellectual property is determined to be distinct from the other performance 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val="false"/>
          <w:i/>
          <w:sz w:val="20"/>
        </w:rPr>
        <w:t xml:space="preserve">Research, development and regulatory milestone payments: </w:t>
      </w:r>
      <w:r>
        <w:rPr>
          <w:rFonts w:ascii="Times New Roman" w:hAnsi="Times New Roman"/>
          <w:b w:val="false"/>
          <w:sz w:val="20"/>
        </w:rPr>
        <w:t>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i/>
          <w:sz w:val="20"/>
        </w:rPr>
        <w:t xml:space="preserve">Sales-based milestones and royalties: </w:t>
      </w:r>
      <w:r>
        <w:rPr>
          <w:rFonts w:ascii="Times New Roman" w:hAnsi="Times New Roman"/>
          <w:b w:val="false"/>
          <w:sz w:val="20"/>
        </w:rPr>
        <w:t>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Deferred revenue represents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Research and development expenditures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Research and development expenses consist of costs incurred for the Company’s own and for collaborative research and development activities. Research and development costs are expensed as incurred. Research and development costs consist of salaries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and benefits, including associated stock-based compensation, and laboratory supplies and facility costs, as well as fees paid to other entities that conduct certain research and development activities on the Company’s behalf. The Company estimates preclinical studies and clinical trial expenses based on the services performed pursuant to contracts with research institutions, contract research organizations and clinical manufacturing organizations that conduct and manage preclinical 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adjusts estimates accordingly.</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Stock-based compensation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measures its stock-based awards granted to employees and directors based on the estimated fair values of the awards and recognizes the compensation on a straight-line basis over the requisite service period. The fair value of options issued under the employee stock purchase plan is calculated using the Black-Scholes option-pricing model. Restricted stock units are valued based on the closing price of the Company’s common stock on the date of grant.</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Comprehensive loss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For the years ended December 31, 2021, 2020, and 2019</w:t>
      </w:r>
      <w:r>
        <w:rPr>
          <w:rFonts w:ascii="Times New Roman" w:hAnsi="Times New Roman"/>
          <w:sz w:val="20"/>
        </w:rPr>
        <w:t xml:space="preserve"> </w:t>
      </w:r>
      <w:r>
        <w:rPr>
          <w:rFonts w:ascii="Times New Roman" w:hAnsi="Times New Roman"/>
          <w:b w:val="false"/>
          <w:sz w:val="20"/>
        </w:rPr>
        <w:t>other comprehensive loss includes net unrealized gains on marketable securities.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Income taxes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interest expense.</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Net loss per share attributable to common stockholders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Deferred offering costs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(equity) as a reduction of additional paid-in capital generated as a result of the equity financing. Should an in-process equity financing be abandoned, the deferred offering costs will be expensed immediately as a charge to operating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expenses in the consolidated statements of operations. As of December 31, 2021 and 2020, $0.5</w:t>
      </w:r>
      <w:r>
        <w:rPr>
          <w:rFonts w:ascii="Times New Roman" w:hAnsi="Times New Roman"/>
          <w:sz w:val="20"/>
        </w:rPr>
        <w:t xml:space="preserve"> </w:t>
      </w:r>
      <w:r>
        <w:rPr>
          <w:rFonts w:ascii="Times New Roman" w:hAnsi="Times New Roman"/>
          <w:b w:val="false"/>
          <w:sz w:val="20"/>
        </w:rPr>
        <w:t>million and zero</w:t>
      </w:r>
      <w:r>
        <w:rPr>
          <w:rFonts w:ascii="Times New Roman" w:hAnsi="Times New Roman"/>
          <w:sz w:val="20"/>
        </w:rPr>
        <w:t xml:space="preserve"> </w:t>
      </w:r>
      <w:r>
        <w:rPr>
          <w:rFonts w:ascii="Times New Roman" w:hAnsi="Times New Roman"/>
          <w:b w:val="false"/>
          <w:sz w:val="20"/>
        </w:rPr>
        <w:t>of deferred offering costs, respectively, were capitalized in other noncurrent assets on the consolidated balance sheets.</w:t>
      </w:r>
    </w:p>
    <w:p>
      <w:pPr>
        <w:pStyle w:val="TextBody"/>
        <w:spacing w:lineRule="auto" w:line="273" w:before="360" w:after="0"/>
        <w:jc w:val="left"/>
        <w:rPr>
          <w:rFonts w:ascii="Times New Roman" w:hAnsi="Times New Roman"/>
          <w:sz w:val="20"/>
        </w:rPr>
      </w:pPr>
      <w:r>
        <w:rPr>
          <w:rFonts w:ascii="Times New Roman" w:hAnsi="Times New Roman"/>
          <w:b/>
          <w:i/>
          <w:sz w:val="20"/>
        </w:rPr>
        <w:t>Segment reporting</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has one</w:t>
      </w:r>
      <w:r>
        <w:rPr>
          <w:rFonts w:ascii="Times New Roman" w:hAnsi="Times New Roman"/>
          <w:sz w:val="20"/>
        </w:rPr>
        <w:t xml:space="preserve"> </w:t>
      </w:r>
      <w:r>
        <w:rPr>
          <w:rFonts w:ascii="Times New Roman" w:hAnsi="Times New Roman"/>
          <w:b w:val="false"/>
          <w:sz w:val="20"/>
        </w:rPr>
        <w:t>operating and reportable segment. The Company’s chief operating decision maker, its Chief Executive Officer, manages the Company’s operations on a consolidated basis for the purposes of allocating resources and evaluating financial performance. All of the Company’s long-lived assets are located in the United States.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401(k) retirement plans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maintains a 401(k) retirement plan</w:t>
      </w:r>
      <w:r>
        <w:rPr>
          <w:rFonts w:ascii="Times New Roman" w:hAnsi="Times New Roman"/>
          <w:sz w:val="20"/>
        </w:rPr>
        <w:t xml:space="preserve"> </w:t>
      </w:r>
      <w:r>
        <w:rPr>
          <w:rFonts w:ascii="Times New Roman" w:hAnsi="Times New Roman"/>
          <w:b w:val="false"/>
          <w:sz w:val="20"/>
        </w:rPr>
        <w:t>for its employees. The Company is responsible for administrative costs of the 401(k) plan. The Company may, at its discretion, make matching or profit-sharing contributions to the 401(k) plan. For the years ended December 31, 2021, 2020 and 2019, the Company made $0.9</w:t>
      </w:r>
      <w:r>
        <w:rPr>
          <w:rFonts w:ascii="Times New Roman" w:hAnsi="Times New Roman"/>
          <w:sz w:val="20"/>
        </w:rPr>
        <w:t xml:space="preserve"> </w:t>
      </w:r>
      <w:r>
        <w:rPr>
          <w:rFonts w:ascii="Times New Roman" w:hAnsi="Times New Roman"/>
          <w:b w:val="false"/>
          <w:sz w:val="20"/>
        </w:rPr>
        <w:t>million, $0.2</w:t>
      </w:r>
      <w:r>
        <w:rPr>
          <w:rFonts w:ascii="Times New Roman" w:hAnsi="Times New Roman"/>
          <w:sz w:val="20"/>
        </w:rPr>
        <w:t xml:space="preserve"> </w:t>
      </w:r>
      <w:r>
        <w:rPr>
          <w:rFonts w:ascii="Times New Roman" w:hAnsi="Times New Roman"/>
          <w:b w:val="false"/>
          <w:sz w:val="20"/>
        </w:rPr>
        <w:t>million and $0.2</w:t>
      </w:r>
      <w:r>
        <w:rPr>
          <w:rFonts w:ascii="Times New Roman" w:hAnsi="Times New Roman"/>
          <w:sz w:val="20"/>
        </w:rPr>
        <w:t xml:space="preserve"> </w:t>
      </w:r>
      <w:r>
        <w:rPr>
          <w:rFonts w:ascii="Times New Roman" w:hAnsi="Times New Roman"/>
          <w:b w:val="false"/>
          <w:sz w:val="20"/>
        </w:rPr>
        <w:t>million matching contributions, respectively, under the plan.</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Recent accounting pronouncements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From time to time, new accounting pronouncements are issued by the FASB, under its ASC or other standard setting bodies, and adopted by the Company as of the specified effective date, unless otherwise discussed below.</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Recently adopted accounting pronouncements</w:t>
      </w:r>
    </w:p>
    <w:p>
      <w:pPr>
        <w:pStyle w:val="TextBody"/>
        <w:spacing w:lineRule="auto" w:line="273" w:before="120" w:after="0"/>
        <w:jc w:val="left"/>
        <w:rPr>
          <w:rFonts w:ascii="Times New Roman" w:hAnsi="Times New Roman"/>
          <w:sz w:val="20"/>
        </w:rPr>
      </w:pPr>
      <w:r>
        <w:rPr>
          <w:rFonts w:ascii="Times New Roman" w:hAnsi="Times New Roman"/>
          <w:b w:val="false"/>
          <w:sz w:val="20"/>
        </w:rPr>
        <w:t>In June 2016, the FASB issued ASU No. 2016-13, Financial Instruments—Credit Losses (Topic 326): Measurement of Credit Losses on Financial Instruments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No. 2018-19, Codification Improvements to Topic 326, Financial Instruments—Credit Losses (ASU 2018-19) which narrowed the scope and changed the effective date for non-public entities for ASU 2016-13. The FASB subsequently issued supplemental guidance within ASU No. 2019-05, Financial Instruments—Credit Losses (Topic 326): Targeted Transition Relief (ASU 2019-05). ASU 2019-05 provides an option to irrevocably elect the fair value option for certain financial assets previously measured at amortized cost basis. ASU 2016-13 is applicable to the Company for the fiscal year beginning after December 15, 2022. Early adoption</w:t>
      </w:r>
      <w:r>
        <w:rPr>
          <w:rFonts w:ascii="Times New Roman" w:hAnsi="Times New Roman"/>
          <w:sz w:val="20"/>
        </w:rPr>
        <w:t xml:space="preserve"> </w:t>
      </w:r>
      <w:r>
        <w:rPr>
          <w:rFonts w:ascii="Times New Roman" w:hAnsi="Times New Roman"/>
          <w:b w:val="false"/>
          <w:sz w:val="20"/>
        </w:rPr>
        <w:t>is permitted. The Company adopted</w:t>
      </w:r>
      <w:r>
        <w:rPr>
          <w:rFonts w:ascii="Times New Roman" w:hAnsi="Times New Roman"/>
          <w:sz w:val="20"/>
        </w:rPr>
        <w:t xml:space="preserve"> </w:t>
      </w:r>
      <w:r>
        <w:rPr>
          <w:rFonts w:ascii="Times New Roman" w:hAnsi="Times New Roman"/>
          <w:b w:val="false"/>
          <w:sz w:val="20"/>
        </w:rPr>
        <w:t>the standard for the fiscal year beginning on January 1, 2021</w:t>
      </w:r>
      <w:r>
        <w:rPr>
          <w:rFonts w:ascii="Times New Roman" w:hAnsi="Times New Roman"/>
          <w:sz w:val="20"/>
        </w:rPr>
        <w:t xml:space="preserve"> </w:t>
      </w:r>
      <w:r>
        <w:rPr>
          <w:rFonts w:ascii="Times New Roman" w:hAnsi="Times New Roman"/>
          <w:b w:val="false"/>
          <w:sz w:val="20"/>
        </w:rPr>
        <w:t>and concluded that adoption of the standard did not have a material impact on its consolidated financial statements.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August 2018, the FASB issued ASU No. 2018-15, Intangibles—Goodwill and Other-Internal-Use Software (Subtopic 350-40): Customer’s Accounting for Implementation Costs Incurred in a Cloud Computing Arrangement That Is a Service Contract (ASU 2018-15). ASU 2018-15 aligns the requirements for capitalizing implementation costs incurred in a cloud computing arrangement that is a service contract with the requirements for capitalizing implementation costs incurred to develop or obtain internal-use-software. This ASU is effective for the Company for the fiscal year beginning after December 15, 2020, and interim periods within fiscal years beginning after December 31, 2021. The Company adopted</w:t>
      </w:r>
      <w:r>
        <w:rPr>
          <w:rFonts w:ascii="Times New Roman" w:hAnsi="Times New Roman"/>
          <w:sz w:val="20"/>
        </w:rPr>
        <w:t xml:space="preserve"> </w:t>
      </w:r>
      <w:r>
        <w:rPr>
          <w:rFonts w:ascii="Times New Roman" w:hAnsi="Times New Roman"/>
          <w:b w:val="false"/>
          <w:sz w:val="20"/>
        </w:rPr>
        <w:t>the standard on December 31, 2021</w:t>
      </w:r>
      <w:r>
        <w:rPr>
          <w:rFonts w:ascii="Times New Roman" w:hAnsi="Times New Roman"/>
          <w:sz w:val="20"/>
        </w:rPr>
        <w:t xml:space="preserve"> </w:t>
      </w:r>
      <w:r>
        <w:rPr>
          <w:rFonts w:ascii="Times New Roman" w:hAnsi="Times New Roman"/>
          <w:b w:val="false"/>
          <w:sz w:val="20"/>
        </w:rPr>
        <w:t>and concluded that adoption of the standard did not</w:t>
      </w:r>
      <w:r>
        <w:rPr>
          <w:rFonts w:ascii="Times New Roman" w:hAnsi="Times New Roman"/>
          <w:sz w:val="20"/>
        </w:rPr>
        <w:t xml:space="preserve"> </w:t>
      </w:r>
      <w:r>
        <w:rPr>
          <w:rFonts w:ascii="Times New Roman" w:hAnsi="Times New Roman"/>
          <w:b w:val="false"/>
          <w:sz w:val="20"/>
        </w:rPr>
        <w:t>have a material impact on its consolidated financial statements.</w:t>
      </w:r>
    </w:p>
    <w:p>
      <w:pPr>
        <w:pStyle w:val="TextBody"/>
        <w:spacing w:lineRule="auto" w:line="273" w:before="240" w:after="0"/>
        <w:jc w:val="left"/>
        <w:rPr>
          <w:rFonts w:ascii="Times New Roman" w:hAnsi="Times New Roman"/>
          <w:sz w:val="20"/>
        </w:rPr>
      </w:pPr>
      <w:r>
        <w:rPr>
          <w:rFonts w:ascii="Times New Roman" w:hAnsi="Times New Roman"/>
          <w:b w:val="false"/>
          <w:sz w:val="20"/>
        </w:rPr>
        <w:t>In December 2019, the FASB issued ASU 2019-12, Income Taxes (Topic 740)-Simplifying the Accounting for Income Taxes (ASU 2019-12). ASU 2019-12 simplifies the accounting for income taxes by removing certain exceptions to the general principles in Topic 740 and clarifying and amending existing guidance. This ASU is effective for the Company for the fiscal year beginning after December 15, 2021 and interim periods within fiscal years beginning after December 15, 2020. The Company adopted the standard on January 1, 2021</w:t>
      </w:r>
      <w:r>
        <w:rPr>
          <w:rFonts w:ascii="Times New Roman" w:hAnsi="Times New Roman"/>
          <w:sz w:val="20"/>
        </w:rPr>
        <w:t xml:space="preserve"> </w:t>
      </w:r>
      <w:r>
        <w:rPr>
          <w:rFonts w:ascii="Times New Roman" w:hAnsi="Times New Roman"/>
          <w:b w:val="false"/>
          <w:sz w:val="20"/>
        </w:rPr>
        <w:t>and concluded that adoption of the standard did not</w:t>
      </w:r>
      <w:r>
        <w:rPr>
          <w:rFonts w:ascii="Times New Roman" w:hAnsi="Times New Roman"/>
          <w:sz w:val="20"/>
        </w:rPr>
        <w:t xml:space="preserve"> </w:t>
      </w:r>
      <w:r>
        <w:rPr>
          <w:rFonts w:ascii="Times New Roman" w:hAnsi="Times New Roman"/>
          <w:b w:val="false"/>
          <w:sz w:val="20"/>
        </w:rPr>
        <w:t>have a material impact on its consolidated financial statements.</w:t>
      </w:r>
    </w:p>
    <w:p>
      <w:pPr>
        <w:pStyle w:val="TextBody"/>
        <w:spacing w:lineRule="auto" w:line="273" w:before="360" w:after="0"/>
        <w:jc w:val="left"/>
        <w:rPr>
          <w:rFonts w:ascii="Times New Roman" w:hAnsi="Times New Roman"/>
          <w:b w:val="false"/>
          <w:i/>
          <w:sz w:val="20"/>
        </w:rPr>
      </w:pPr>
      <w:r>
        <w:rPr>
          <w:rFonts w:ascii="Times New Roman" w:hAnsi="Times New Roman"/>
          <w:b w:val="false"/>
          <w:i/>
          <w:sz w:val="20"/>
        </w:rPr>
        <w:t>Recent accounting pronouncements not yet adopted</w:t>
      </w:r>
    </w:p>
    <w:p>
      <w:pPr>
        <w:pStyle w:val="TextBody"/>
        <w:spacing w:lineRule="auto" w:line="273" w:before="120" w:after="0"/>
        <w:jc w:val="left"/>
        <w:rPr>
          <w:rFonts w:ascii="Times New Roman" w:hAnsi="Times New Roman"/>
          <w:sz w:val="20"/>
        </w:rPr>
      </w:pPr>
      <w:r>
        <w:rPr>
          <w:rFonts w:ascii="Times New Roman" w:hAnsi="Times New Roman"/>
          <w:b w:val="false"/>
          <w:sz w:val="20"/>
        </w:rPr>
        <w:t>In October 2020, the FASB issued ASU 2020-08, Codification Improvements to Subtopic 310-20, Receivables-Nonrefundable Fees and Other Costs (ASU 2020-08). ASU 2020-08 clarifies that an entity should reevaluate whether a callable debt security is within the scope of ASC paragraph 310-20-35-33 for each reporting period. The guidance is effective for the Company in the first quarter of 2022. Early application is not permitted. All entities should apply ASU 2020-08 on a prospective basis as of the beginning of the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period of adoption for existing or newly purchased callable debt securities. The Company is currently evaluating the impact of ASU 2020-08 on its consolidated financial statements.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October 2020, FASB issued ASU 2020-10, Codification Improvements (ASU 2020-10). ASU 2020-10 updates various codification topics by clarifying or improving disclosure requirements to align with the SEC's regulations. The amendments are effective for the Company in the first quarter of 2022. Early adoption is permitted. Adoption shall be applied retrospectively. The Company is currently evaluating the impact of ASU 2020-10 on its consolidated financial statements and related disclosures.</w:t>
        <w:br/>
      </w:r>
      <w:r>
        <w:rPr>
          <w:rFonts w:ascii="Times New Roman" w:hAnsi="Times New Roman"/>
          <w:sz w:val="20"/>
        </w:rPr>
        <w:t>  </w:t>
      </w:r>
    </w:p>
    <w:p>
      <w:pPr>
        <w:pStyle w:val="TextBody"/>
        <w:spacing w:lineRule="auto" w:line="273" w:before="360" w:after="0"/>
        <w:jc w:val="left"/>
        <w:rPr>
          <w:rFonts w:ascii="Times New Roman" w:hAnsi="Times New Roman"/>
          <w:b/>
          <w:sz w:val="20"/>
        </w:rPr>
      </w:pPr>
      <w:r>
        <w:rPr>
          <w:rFonts w:ascii="Times New Roman" w:hAnsi="Times New Roman"/>
          <w:b/>
          <w:sz w:val="20"/>
        </w:rPr>
        <w:t>3.</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Fair value measurements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 presents information about the Company’s financial assets that are measured at fair value and indicates the fair value hierarchy of the valuation:</w:t>
      </w:r>
      <w:r>
        <w:rPr>
          <w:rFonts w:ascii="Times New Roman" w:hAnsi="Times New Roman"/>
          <w:sz w:val="20"/>
        </w:rPr>
        <w:t xml:space="preserve"> </w:t>
      </w:r>
    </w:p>
    <w:p>
      <w:pPr>
        <w:pStyle w:val="TextBody"/>
        <w:spacing w:lineRule="auto" w:line="273" w:before="0" w:after="0"/>
        <w:jc w:val="left"/>
        <w:rPr/>
      </w:pPr>
      <w:r>
        <w:rPr/>
        <w:t> </w:t>
      </w:r>
    </w:p>
    <w:tbl>
      <w:tblPr>
        <w:tblW w:w="8515" w:type="dxa"/>
        <w:jc w:val="left"/>
        <w:tblInd w:w="0" w:type="dxa"/>
        <w:tblCellMar>
          <w:top w:w="28" w:type="dxa"/>
          <w:left w:w="28" w:type="dxa"/>
          <w:bottom w:w="28" w:type="dxa"/>
          <w:right w:w="28" w:type="dxa"/>
        </w:tblCellMar>
      </w:tblPr>
      <w:tblGrid>
        <w:gridCol w:w="3601"/>
        <w:gridCol w:w="146"/>
        <w:gridCol w:w="211"/>
        <w:gridCol w:w="781"/>
        <w:gridCol w:w="146"/>
        <w:gridCol w:w="146"/>
        <w:gridCol w:w="211"/>
        <w:gridCol w:w="676"/>
        <w:gridCol w:w="146"/>
        <w:gridCol w:w="146"/>
        <w:gridCol w:w="211"/>
        <w:gridCol w:w="781"/>
        <w:gridCol w:w="146"/>
        <w:gridCol w:w="146"/>
        <w:gridCol w:w="239"/>
        <w:gridCol w:w="391"/>
        <w:gridCol w:w="391"/>
      </w:tblGrid>
      <w:tr>
        <w:trPr/>
        <w:tc>
          <w:tcPr>
            <w:tcW w:w="3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77"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77"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60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 xml:space="preserve">Money market funds </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57,134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57,134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60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 xml:space="preserve">Commercial paper </w:t>
            </w:r>
            <w:r>
              <w:rPr>
                <w:rFonts w:ascii="Times New Roman" w:hAnsi="Times New Roman"/>
                <w:b w:val="false"/>
                <w:sz w:val="13"/>
              </w:rPr>
              <w:t>(1, 2)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291,369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291,369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60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U.S. government and agency securities</w:t>
            </w:r>
            <w:r>
              <w:rPr>
                <w:rFonts w:ascii="Times New Roman" w:hAnsi="Times New Roman"/>
                <w:sz w:val="20"/>
              </w:rPr>
              <w:t> </w:t>
            </w:r>
            <w:r>
              <w:rPr>
                <w:rFonts w:ascii="Times New Roman" w:hAnsi="Times New Roman"/>
                <w:b w:val="false"/>
                <w:sz w:val="13"/>
              </w:rPr>
              <w:t>(1, 2)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87,745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87,745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60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 xml:space="preserve">Corporate bonds </w:t>
            </w:r>
            <w:r>
              <w:rPr>
                <w:rFonts w:ascii="Times New Roman" w:hAnsi="Times New Roman"/>
                <w:b w:val="false"/>
                <w:sz w:val="13"/>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141,698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141,698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577,946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57,134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520,812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36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77"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377"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60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 xml:space="preserve">Money market funds </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16,696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16,696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60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 xml:space="preserve">Commercial paper </w:t>
            </w:r>
            <w:r>
              <w:rPr>
                <w:rFonts w:ascii="Times New Roman" w:hAnsi="Times New Roman"/>
                <w:b w:val="false"/>
                <w:sz w:val="13"/>
              </w:rPr>
              <w:t>(1, 2)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151,663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151,663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60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U.S. government and agency securities</w:t>
            </w:r>
            <w:r>
              <w:rPr>
                <w:rFonts w:ascii="Times New Roman" w:hAnsi="Times New Roman"/>
                <w:sz w:val="20"/>
              </w:rPr>
              <w:t> </w:t>
            </w:r>
            <w:r>
              <w:rPr>
                <w:rFonts w:ascii="Times New Roman" w:hAnsi="Times New Roman"/>
                <w:b w:val="false"/>
                <w:sz w:val="13"/>
              </w:rPr>
              <w:t>(1, 2)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270,520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270,520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60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 xml:space="preserve">Corporate bonds </w:t>
            </w:r>
            <w:r>
              <w:rPr>
                <w:rFonts w:ascii="Times New Roman" w:hAnsi="Times New Roman"/>
                <w:b w:val="false"/>
                <w:sz w:val="13"/>
              </w:rPr>
              <w:t>(1, 2)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442,079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16,696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425,383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5"/>
        </w:rPr>
      </w:pPr>
      <w:r>
        <w:rPr>
          <w:rFonts w:ascii="Times New Roman" w:hAnsi="Times New Roman"/>
          <w:b w:val="false"/>
          <w:sz w:val="15"/>
        </w:rPr>
        <w:t>(1)</w:t>
      </w:r>
    </w:p>
    <w:p>
      <w:pPr>
        <w:pStyle w:val="TextBody"/>
        <w:spacing w:lineRule="auto" w:line="273" w:before="0" w:after="0"/>
        <w:jc w:val="left"/>
        <w:rPr>
          <w:rFonts w:ascii="Times New Roman" w:hAnsi="Times New Roman"/>
          <w:b w:val="false"/>
          <w:sz w:val="15"/>
        </w:rPr>
      </w:pPr>
      <w:r>
        <w:rPr>
          <w:rFonts w:ascii="Times New Roman" w:hAnsi="Times New Roman"/>
          <w:b w:val="false"/>
          <w:sz w:val="15"/>
        </w:rPr>
        <w:t>Included in cash and cash equivalents on the consolidated balance sheets.</w:t>
      </w:r>
    </w:p>
    <w:p>
      <w:pPr>
        <w:pStyle w:val="TextBody"/>
        <w:spacing w:lineRule="auto" w:line="273" w:before="0" w:after="0"/>
        <w:jc w:val="left"/>
        <w:rPr>
          <w:rFonts w:ascii="Times New Roman" w:hAnsi="Times New Roman"/>
          <w:b w:val="false"/>
          <w:sz w:val="15"/>
        </w:rPr>
      </w:pPr>
      <w:r>
        <w:rPr>
          <w:rFonts w:ascii="Times New Roman" w:hAnsi="Times New Roman"/>
          <w:b w:val="false"/>
          <w:sz w:val="15"/>
        </w:rPr>
        <w:t>(2)</w:t>
      </w:r>
    </w:p>
    <w:p>
      <w:pPr>
        <w:pStyle w:val="TextBody"/>
        <w:spacing w:lineRule="auto" w:line="273"/>
        <w:jc w:val="left"/>
        <w:rPr>
          <w:rFonts w:ascii="Times New Roman" w:hAnsi="Times New Roman"/>
          <w:b w:val="false"/>
          <w:sz w:val="15"/>
        </w:rPr>
      </w:pPr>
      <w:r>
        <w:rPr>
          <w:rFonts w:ascii="Times New Roman" w:hAnsi="Times New Roman"/>
          <w:b w:val="false"/>
          <w:sz w:val="15"/>
        </w:rPr>
        <w:t>Included in marketable securities on the consolidated balance sheets.</w:t>
      </w:r>
    </w:p>
    <w:p>
      <w:pPr>
        <w:pStyle w:val="TextBody"/>
        <w:spacing w:lineRule="auto" w:line="273" w:before="240" w:after="0"/>
        <w:jc w:val="left"/>
        <w:rPr>
          <w:rFonts w:ascii="Times New Roman" w:hAnsi="Times New Roman"/>
          <w:sz w:val="20"/>
        </w:rPr>
      </w:pPr>
      <w:r>
        <w:rPr>
          <w:rFonts w:ascii="Times New Roman" w:hAnsi="Times New Roman"/>
          <w:b w:val="false"/>
          <w:sz w:val="20"/>
        </w:rPr>
        <w:t>Money market funds are measured at fair value on a recurring basis using quoted prices. U.S. government debt securities, government agency bonds, commercial paper and corporate bonds are measured at fair value, which is derived from independent pricing sources based on quoted prices in active markets for similar securities.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There were no</w:t>
      </w:r>
      <w:r>
        <w:rPr>
          <w:rFonts w:ascii="Times New Roman" w:hAnsi="Times New Roman"/>
          <w:sz w:val="20"/>
        </w:rPr>
        <w:t xml:space="preserve"> </w:t>
      </w:r>
      <w:r>
        <w:rPr>
          <w:rFonts w:ascii="Times New Roman" w:hAnsi="Times New Roman"/>
          <w:b w:val="false"/>
          <w:sz w:val="20"/>
        </w:rPr>
        <w:t>transfers between Levels 1, 2 or 3 for any of the periods presented.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r>
        <w:rPr>
          <w:rFonts w:ascii="Times New Roman" w:hAnsi="Times New Roman"/>
          <w:b/>
          <w:sz w:val="20"/>
        </w:rPr>
        <w:t>4.</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Available-for-sale securities </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tables summarize the estimated value of the Company’s available-for-sale marketable securities and cash equivalents and the gross unrealized gains and losses:</w:t>
      </w:r>
      <w:r>
        <w:rPr>
          <w:rFonts w:ascii="Times New Roman" w:hAnsi="Times New Roman"/>
          <w:sz w:val="20"/>
        </w:rPr>
        <w:t xml:space="preserve"> </w:t>
      </w:r>
    </w:p>
    <w:p>
      <w:pPr>
        <w:pStyle w:val="TextBody"/>
        <w:spacing w:lineRule="auto" w:line="273" w:before="0" w:after="0"/>
        <w:jc w:val="left"/>
        <w:rPr/>
      </w:pPr>
      <w:r>
        <w:rPr/>
        <w:t> </w:t>
      </w:r>
    </w:p>
    <w:tbl>
      <w:tblPr>
        <w:tblW w:w="8385" w:type="dxa"/>
        <w:jc w:val="left"/>
        <w:tblInd w:w="0" w:type="dxa"/>
        <w:tblCellMar>
          <w:top w:w="28" w:type="dxa"/>
          <w:left w:w="28" w:type="dxa"/>
          <w:bottom w:w="28" w:type="dxa"/>
          <w:right w:w="28" w:type="dxa"/>
        </w:tblCellMar>
      </w:tblPr>
      <w:tblGrid>
        <w:gridCol w:w="3256"/>
        <w:gridCol w:w="146"/>
        <w:gridCol w:w="211"/>
        <w:gridCol w:w="781"/>
        <w:gridCol w:w="146"/>
        <w:gridCol w:w="146"/>
        <w:gridCol w:w="324"/>
        <w:gridCol w:w="532"/>
        <w:gridCol w:w="146"/>
        <w:gridCol w:w="146"/>
        <w:gridCol w:w="261"/>
        <w:gridCol w:w="595"/>
        <w:gridCol w:w="166"/>
        <w:gridCol w:w="146"/>
        <w:gridCol w:w="211"/>
        <w:gridCol w:w="781"/>
        <w:gridCol w:w="391"/>
      </w:tblGrid>
      <w:tr>
        <w:trPr/>
        <w:tc>
          <w:tcPr>
            <w:tcW w:w="3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92"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Estimated</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gain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92"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239,176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3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9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239,114</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U.S. government and agency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87,926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shd w:fill="auto" w:val="clear"/>
            <w:vAlign w:val="center"/>
          </w:tcPr>
          <w:p>
            <w:pPr>
              <w:pStyle w:val="TableContents"/>
              <w:spacing w:lineRule="auto" w:line="252" w:before="0" w:after="0"/>
              <w:ind w:left="0" w:right="0" w:hanging="0"/>
              <w:jc w:val="left"/>
              <w:rPr/>
            </w:pPr>
            <w:r>
              <w:rPr/>
              <w:t> </w:t>
            </w:r>
          </w:p>
        </w:tc>
        <w:tc>
          <w:tcPr>
            <w:tcW w:w="5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87,745</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141,829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141,698</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468,931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468,557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57,134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shd w:fill="auto" w:val="clear"/>
            <w:vAlign w:val="center"/>
          </w:tcPr>
          <w:p>
            <w:pPr>
              <w:pStyle w:val="TableContents"/>
              <w:spacing w:lineRule="auto" w:line="252" w:before="0" w:after="0"/>
              <w:ind w:left="0" w:right="0" w:hanging="0"/>
              <w:jc w:val="left"/>
              <w:rPr/>
            </w:pPr>
            <w:r>
              <w:rPr/>
              <w:t> </w:t>
            </w:r>
          </w:p>
        </w:tc>
        <w:tc>
          <w:tcPr>
            <w:tcW w:w="5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57,134</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52,257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shd w:fill="auto" w:val="clear"/>
            <w:vAlign w:val="center"/>
          </w:tcPr>
          <w:p>
            <w:pPr>
              <w:pStyle w:val="TableContents"/>
              <w:spacing w:lineRule="auto" w:line="252" w:before="0" w:after="0"/>
              <w:ind w:left="0" w:right="0" w:hanging="0"/>
              <w:jc w:val="left"/>
              <w:rPr/>
            </w:pPr>
            <w:r>
              <w:rPr/>
              <w:t> </w:t>
            </w:r>
          </w:p>
        </w:tc>
        <w:tc>
          <w:tcPr>
            <w:tcW w:w="5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52,255</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U.S. government and agency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shd w:fill="auto" w:val="clear"/>
            <w:vAlign w:val="center"/>
          </w:tcPr>
          <w:p>
            <w:pPr>
              <w:pStyle w:val="TableContents"/>
              <w:spacing w:lineRule="auto" w:line="252" w:before="0" w:after="0"/>
              <w:ind w:left="0" w:right="0" w:hanging="0"/>
              <w:jc w:val="left"/>
              <w:rPr/>
            </w:pPr>
            <w:r>
              <w:rPr/>
              <w:t> </w:t>
            </w:r>
          </w:p>
        </w:tc>
        <w:tc>
          <w:tcPr>
            <w:tcW w:w="53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109,391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109,389</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available-for-sale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578,322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577,946</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8385" w:type="dxa"/>
        <w:jc w:val="left"/>
        <w:tblInd w:w="0" w:type="dxa"/>
        <w:tblCellMar>
          <w:top w:w="28" w:type="dxa"/>
          <w:left w:w="28" w:type="dxa"/>
          <w:bottom w:w="28" w:type="dxa"/>
          <w:right w:w="28" w:type="dxa"/>
        </w:tblCellMar>
      </w:tblPr>
      <w:tblGrid>
        <w:gridCol w:w="3256"/>
        <w:gridCol w:w="146"/>
        <w:gridCol w:w="211"/>
        <w:gridCol w:w="781"/>
        <w:gridCol w:w="146"/>
        <w:gridCol w:w="146"/>
        <w:gridCol w:w="285"/>
        <w:gridCol w:w="571"/>
        <w:gridCol w:w="146"/>
        <w:gridCol w:w="146"/>
        <w:gridCol w:w="307"/>
        <w:gridCol w:w="549"/>
        <w:gridCol w:w="166"/>
        <w:gridCol w:w="146"/>
        <w:gridCol w:w="211"/>
        <w:gridCol w:w="781"/>
        <w:gridCol w:w="391"/>
      </w:tblGrid>
      <w:tr>
        <w:trPr/>
        <w:tc>
          <w:tcPr>
            <w:tcW w:w="3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92"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Estimated</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gain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92"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69,871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4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69,866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U.S. government and agency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266,481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266,607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336,352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336,473</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16,696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54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16,696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54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81,797</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U.S. government and agency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54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3,913</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2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3,202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3,200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105,611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105,606</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2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available-for-sale investments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441,963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4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442,079</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The amortized cost and estimated fair value of the Company’s available-for-sale marketable securities and cash equivalents by contractual maturity are summarized below as of December 31, 2021:</w:t>
      </w:r>
    </w:p>
    <w:p>
      <w:pPr>
        <w:pStyle w:val="TextBody"/>
        <w:spacing w:lineRule="auto" w:line="273" w:before="0" w:after="0"/>
        <w:jc w:val="left"/>
        <w:rPr/>
      </w:pPr>
      <w:r>
        <w:rPr/>
        <w:t> </w:t>
      </w:r>
    </w:p>
    <w:tbl>
      <w:tblPr>
        <w:tblW w:w="8275" w:type="dxa"/>
        <w:jc w:val="left"/>
        <w:tblInd w:w="0" w:type="dxa"/>
        <w:tblCellMar>
          <w:top w:w="28" w:type="dxa"/>
          <w:left w:w="28" w:type="dxa"/>
          <w:bottom w:w="28" w:type="dxa"/>
          <w:right w:w="28" w:type="dxa"/>
        </w:tblCellMar>
      </w:tblPr>
      <w:tblGrid>
        <w:gridCol w:w="3346"/>
        <w:gridCol w:w="146"/>
        <w:gridCol w:w="211"/>
        <w:gridCol w:w="781"/>
        <w:gridCol w:w="146"/>
        <w:gridCol w:w="146"/>
        <w:gridCol w:w="324"/>
        <w:gridCol w:w="532"/>
        <w:gridCol w:w="146"/>
        <w:gridCol w:w="146"/>
        <w:gridCol w:w="261"/>
        <w:gridCol w:w="595"/>
        <w:gridCol w:w="166"/>
        <w:gridCol w:w="146"/>
        <w:gridCol w:w="211"/>
        <w:gridCol w:w="781"/>
        <w:gridCol w:w="191"/>
      </w:tblGrid>
      <w:tr>
        <w:trPr/>
        <w:tc>
          <w:tcPr>
            <w:tcW w:w="3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92"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33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Estimated</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33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gain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3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92"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33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Mature in one year or less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533,859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3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9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533,636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Mature after one year through two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44,463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44,310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578,322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577,946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5.</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Balance sheet components </w:t>
      </w:r>
    </w:p>
    <w:p>
      <w:pPr>
        <w:pStyle w:val="TextBody"/>
        <w:spacing w:lineRule="auto" w:line="273" w:before="120" w:after="0"/>
        <w:jc w:val="left"/>
        <w:rPr>
          <w:rFonts w:ascii="Times New Roman" w:hAnsi="Times New Roman"/>
          <w:sz w:val="20"/>
        </w:rPr>
      </w:pPr>
      <w:r>
        <w:rPr>
          <w:rFonts w:ascii="Times New Roman" w:hAnsi="Times New Roman"/>
          <w:b/>
          <w:i/>
          <w:sz w:val="20"/>
        </w:rPr>
        <w:t>Property and equipment, net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Property and equipment, net consists of the following:</w:t>
      </w:r>
      <w:r>
        <w:rPr>
          <w:rFonts w:ascii="Times New Roman" w:hAnsi="Times New Roman"/>
          <w:sz w:val="20"/>
        </w:rPr>
        <w:t xml:space="preserve"> </w:t>
      </w:r>
    </w:p>
    <w:p>
      <w:pPr>
        <w:pStyle w:val="TextBody"/>
        <w:spacing w:lineRule="auto" w:line="273" w:before="0" w:after="0"/>
        <w:jc w:val="left"/>
        <w:rPr/>
      </w:pPr>
      <w:r>
        <w:rPr/>
        <w:t> </w:t>
      </w:r>
    </w:p>
    <w:tbl>
      <w:tblPr>
        <w:tblW w:w="6614" w:type="dxa"/>
        <w:jc w:val="left"/>
        <w:tblInd w:w="0" w:type="dxa"/>
        <w:tblCellMar>
          <w:top w:w="28" w:type="dxa"/>
          <w:left w:w="28" w:type="dxa"/>
          <w:bottom w:w="28" w:type="dxa"/>
          <w:right w:w="28" w:type="dxa"/>
        </w:tblCellMar>
      </w:tblPr>
      <w:tblGrid>
        <w:gridCol w:w="4111"/>
        <w:gridCol w:w="146"/>
        <w:gridCol w:w="211"/>
        <w:gridCol w:w="736"/>
        <w:gridCol w:w="166"/>
        <w:gridCol w:w="146"/>
        <w:gridCol w:w="211"/>
        <w:gridCol w:w="676"/>
        <w:gridCol w:w="211"/>
      </w:tblGrid>
      <w:tr>
        <w:trPr/>
        <w:tc>
          <w:tcPr>
            <w:tcW w:w="4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1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Laboratory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12,727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9,978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3,387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Computer equipment and software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2,186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1,578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Construction in progress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1,981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22,356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16,972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accumulated 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(10,812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(8,070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1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8,902</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80" w:after="0"/>
        <w:jc w:val="left"/>
        <w:rPr>
          <w:rFonts w:ascii="Times New Roman" w:hAnsi="Times New Roman"/>
          <w:sz w:val="20"/>
        </w:rPr>
      </w:pPr>
      <w:r>
        <w:rPr>
          <w:rFonts w:ascii="Times New Roman" w:hAnsi="Times New Roman"/>
          <w:b w:val="false"/>
          <w:sz w:val="20"/>
        </w:rPr>
        <w:t>Depreciation and amortization expense for property and equipment amounted to $3.1</w:t>
      </w:r>
      <w:r>
        <w:rPr>
          <w:rFonts w:ascii="Times New Roman" w:hAnsi="Times New Roman"/>
          <w:sz w:val="20"/>
        </w:rPr>
        <w:t xml:space="preserve"> </w:t>
      </w:r>
      <w:r>
        <w:rPr>
          <w:rFonts w:ascii="Times New Roman" w:hAnsi="Times New Roman"/>
          <w:b w:val="false"/>
          <w:sz w:val="20"/>
        </w:rPr>
        <w:t>million, $2.6</w:t>
      </w:r>
      <w:r>
        <w:rPr>
          <w:rFonts w:ascii="Times New Roman" w:hAnsi="Times New Roman"/>
          <w:sz w:val="20"/>
        </w:rPr>
        <w:t xml:space="preserve"> </w:t>
      </w:r>
      <w:r>
        <w:rPr>
          <w:rFonts w:ascii="Times New Roman" w:hAnsi="Times New Roman"/>
          <w:b w:val="false"/>
          <w:sz w:val="20"/>
        </w:rPr>
        <w:t>million and $2.3</w:t>
      </w:r>
      <w:r>
        <w:rPr>
          <w:rFonts w:ascii="Times New Roman" w:hAnsi="Times New Roman"/>
          <w:sz w:val="20"/>
        </w:rPr>
        <w:t xml:space="preserve"> </w:t>
      </w:r>
      <w:r>
        <w:rPr>
          <w:rFonts w:ascii="Times New Roman" w:hAnsi="Times New Roman"/>
          <w:b w:val="false"/>
          <w:sz w:val="20"/>
        </w:rPr>
        <w:t>million for the years ended December 31, 2021, 2020 and 2019, respectively.</w:t>
      </w:r>
    </w:p>
    <w:p>
      <w:pPr>
        <w:pStyle w:val="TextBody"/>
        <w:spacing w:lineRule="auto" w:line="273" w:before="360" w:after="0"/>
        <w:jc w:val="left"/>
        <w:rPr>
          <w:rFonts w:ascii="Times New Roman" w:hAnsi="Times New Roman"/>
          <w:sz w:val="20"/>
        </w:rPr>
      </w:pPr>
      <w:r>
        <w:rPr>
          <w:rFonts w:ascii="Times New Roman" w:hAnsi="Times New Roman"/>
          <w:b/>
          <w:i/>
          <w:sz w:val="20"/>
        </w:rPr>
        <w:t>Accrued expenses and other current liabilities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Accrued expenses and other current liabilities consist of the following:</w:t>
      </w:r>
      <w:r>
        <w:rPr>
          <w:rFonts w:ascii="Times New Roman" w:hAnsi="Times New Roman"/>
          <w:sz w:val="20"/>
        </w:rPr>
        <w:t xml:space="preserve"> </w:t>
      </w:r>
    </w:p>
    <w:p>
      <w:pPr>
        <w:pStyle w:val="TextBody"/>
        <w:spacing w:lineRule="auto" w:line="273" w:before="0" w:after="0"/>
        <w:jc w:val="left"/>
        <w:rPr/>
      </w:pPr>
      <w:r>
        <w:rPr/>
        <w:t> </w:t>
      </w:r>
    </w:p>
    <w:tbl>
      <w:tblPr>
        <w:tblW w:w="6664" w:type="dxa"/>
        <w:jc w:val="left"/>
        <w:tblInd w:w="0" w:type="dxa"/>
        <w:tblCellMar>
          <w:top w:w="28" w:type="dxa"/>
          <w:left w:w="28" w:type="dxa"/>
          <w:bottom w:w="28" w:type="dxa"/>
          <w:right w:w="28" w:type="dxa"/>
        </w:tblCellMar>
      </w:tblPr>
      <w:tblGrid>
        <w:gridCol w:w="4261"/>
        <w:gridCol w:w="146"/>
        <w:gridCol w:w="211"/>
        <w:gridCol w:w="676"/>
        <w:gridCol w:w="146"/>
        <w:gridCol w:w="146"/>
        <w:gridCol w:w="211"/>
        <w:gridCol w:w="676"/>
        <w:gridCol w:w="191"/>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6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9,852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7,736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17,018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10,459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professional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27,721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18,784</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60" w:after="0"/>
        <w:jc w:val="left"/>
        <w:rPr>
          <w:rFonts w:ascii="Times New Roman" w:hAnsi="Times New Roman"/>
          <w:b/>
          <w:sz w:val="20"/>
        </w:rPr>
      </w:pPr>
      <w:r>
        <w:rPr>
          <w:rFonts w:ascii="Times New Roman" w:hAnsi="Times New Roman"/>
          <w:b/>
          <w:sz w:val="20"/>
        </w:rPr>
        <w:t>6.</w:t>
      </w:r>
    </w:p>
    <w:p>
      <w:pPr>
        <w:pStyle w:val="TextBody"/>
        <w:spacing w:lineRule="auto" w:line="273" w:before="160" w:after="283"/>
        <w:jc w:val="left"/>
        <w:rPr>
          <w:rFonts w:ascii="Times New Roman" w:hAnsi="Times New Roman"/>
          <w:b/>
          <w:sz w:val="20"/>
        </w:rPr>
      </w:pPr>
      <w:r>
        <w:rPr>
          <w:rFonts w:ascii="Times New Roman" w:hAnsi="Times New Roman"/>
          <w:b/>
          <w:sz w:val="20"/>
        </w:rPr>
        <w:t xml:space="preserve">Intangible assets and goodwill </w:t>
      </w:r>
    </w:p>
    <w:p>
      <w:pPr>
        <w:pStyle w:val="TextBody"/>
        <w:spacing w:lineRule="auto" w:line="273" w:before="120" w:after="0"/>
        <w:jc w:val="left"/>
        <w:rPr>
          <w:rFonts w:ascii="Times New Roman" w:hAnsi="Times New Roman"/>
          <w:b/>
          <w:i/>
          <w:sz w:val="20"/>
        </w:rPr>
      </w:pPr>
      <w:r>
        <w:rPr>
          <w:rFonts w:ascii="Times New Roman" w:hAnsi="Times New Roman"/>
          <w:b/>
          <w:i/>
          <w:sz w:val="20"/>
        </w:rPr>
        <w:t>Intangible assets, net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Intangible assets, net consist of the following as of December 31, 2021:</w:t>
      </w:r>
    </w:p>
    <w:p>
      <w:pPr>
        <w:pStyle w:val="TextBody"/>
        <w:spacing w:lineRule="auto" w:line="273" w:before="0" w:after="0"/>
        <w:jc w:val="left"/>
        <w:rPr/>
      </w:pPr>
      <w:r>
        <w:rPr/>
        <w:t> </w:t>
      </w:r>
    </w:p>
    <w:tbl>
      <w:tblPr>
        <w:tblW w:w="9043" w:type="dxa"/>
        <w:jc w:val="left"/>
        <w:tblInd w:w="0" w:type="dxa"/>
        <w:tblCellMar>
          <w:top w:w="28" w:type="dxa"/>
          <w:left w:w="28" w:type="dxa"/>
          <w:bottom w:w="28" w:type="dxa"/>
          <w:right w:w="28" w:type="dxa"/>
        </w:tblCellMar>
      </w:tblPr>
      <w:tblGrid>
        <w:gridCol w:w="3856"/>
        <w:gridCol w:w="146"/>
        <w:gridCol w:w="228"/>
        <w:gridCol w:w="732"/>
        <w:gridCol w:w="146"/>
        <w:gridCol w:w="146"/>
        <w:gridCol w:w="263"/>
        <w:gridCol w:w="788"/>
        <w:gridCol w:w="166"/>
        <w:gridCol w:w="146"/>
        <w:gridCol w:w="211"/>
        <w:gridCol w:w="676"/>
        <w:gridCol w:w="146"/>
        <w:gridCol w:w="146"/>
        <w:gridCol w:w="246"/>
        <w:gridCol w:w="610"/>
        <w:gridCol w:w="391"/>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Net book</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remaining</w:t>
              <w:br/>
              <w:t>useful life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2"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years)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In-process research and development - RAS</w:t>
              <w:br/>
              <w:t>   Programs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8"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n/a</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Developed technology – tri-complex platform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7,480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4,076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8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63,280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(3,404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59,876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Amortization expense for the years ended December 31, 2021, 2020 and 2019</w:t>
      </w:r>
      <w:r>
        <w:rPr>
          <w:rFonts w:ascii="Times New Roman" w:hAnsi="Times New Roman"/>
          <w:sz w:val="20"/>
        </w:rPr>
        <w:t xml:space="preserve"> </w:t>
      </w:r>
      <w:r>
        <w:rPr>
          <w:rFonts w:ascii="Times New Roman" w:hAnsi="Times New Roman"/>
          <w:b w:val="false"/>
          <w:sz w:val="20"/>
        </w:rPr>
        <w:t>were $1.1</w:t>
      </w:r>
      <w:r>
        <w:rPr>
          <w:rFonts w:ascii="Times New Roman" w:hAnsi="Times New Roman"/>
          <w:sz w:val="20"/>
        </w:rPr>
        <w:t xml:space="preserve"> </w:t>
      </w:r>
      <w:r>
        <w:rPr>
          <w:rFonts w:ascii="Times New Roman" w:hAnsi="Times New Roman"/>
          <w:b w:val="false"/>
          <w:sz w:val="20"/>
        </w:rPr>
        <w:t>million, $1.1</w:t>
      </w:r>
      <w:r>
        <w:rPr>
          <w:rFonts w:ascii="Times New Roman" w:hAnsi="Times New Roman"/>
          <w:sz w:val="20"/>
        </w:rPr>
        <w:t xml:space="preserve"> </w:t>
      </w:r>
      <w:r>
        <w:rPr>
          <w:rFonts w:ascii="Times New Roman" w:hAnsi="Times New Roman"/>
          <w:b w:val="false"/>
          <w:sz w:val="20"/>
        </w:rPr>
        <w:t>million and $1.1</w:t>
      </w:r>
      <w:r>
        <w:rPr>
          <w:rFonts w:ascii="Times New Roman" w:hAnsi="Times New Roman"/>
          <w:sz w:val="20"/>
        </w:rPr>
        <w:t xml:space="preserve"> </w:t>
      </w:r>
      <w:r>
        <w:rPr>
          <w:rFonts w:ascii="Times New Roman" w:hAnsi="Times New Roman"/>
          <w:b w:val="false"/>
          <w:sz w:val="20"/>
        </w:rPr>
        <w:t>million, respectively.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As of December 31, 2021, future amortization expense is as follows:</w:t>
      </w:r>
    </w:p>
    <w:p>
      <w:pPr>
        <w:pStyle w:val="TextBody"/>
        <w:spacing w:lineRule="auto" w:line="273" w:before="0" w:after="0"/>
        <w:jc w:val="left"/>
        <w:rPr/>
      </w:pPr>
      <w:r>
        <w:rPr/>
        <w:t> </w:t>
      </w:r>
    </w:p>
    <w:tbl>
      <w:tblPr>
        <w:tblW w:w="2018" w:type="dxa"/>
        <w:jc w:val="left"/>
        <w:tblInd w:w="0" w:type="dxa"/>
        <w:tblCellMar>
          <w:top w:w="28" w:type="dxa"/>
          <w:left w:w="28" w:type="dxa"/>
          <w:bottom w:w="28" w:type="dxa"/>
          <w:right w:w="28" w:type="dxa"/>
        </w:tblCellMar>
      </w:tblPr>
      <w:tblGrid>
        <w:gridCol w:w="556"/>
        <w:gridCol w:w="146"/>
        <w:gridCol w:w="302"/>
        <w:gridCol w:w="823"/>
        <w:gridCol w:w="191"/>
      </w:tblGrid>
      <w:tr>
        <w:trPr/>
        <w:tc>
          <w:tcPr>
            <w:tcW w:w="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Amount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5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82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869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2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4,076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Intangible assets, net consist of the following as of December 31, 2020:</w:t>
      </w:r>
    </w:p>
    <w:p>
      <w:pPr>
        <w:pStyle w:val="TextBody"/>
        <w:spacing w:lineRule="auto" w:line="273" w:before="0" w:after="0"/>
        <w:jc w:val="left"/>
        <w:rPr/>
      </w:pPr>
      <w:r>
        <w:rPr/>
        <w:t> </w:t>
      </w:r>
    </w:p>
    <w:tbl>
      <w:tblPr>
        <w:tblW w:w="9043" w:type="dxa"/>
        <w:jc w:val="left"/>
        <w:tblInd w:w="0" w:type="dxa"/>
        <w:tblCellMar>
          <w:top w:w="28" w:type="dxa"/>
          <w:left w:w="28" w:type="dxa"/>
          <w:bottom w:w="28" w:type="dxa"/>
          <w:right w:w="28" w:type="dxa"/>
        </w:tblCellMar>
      </w:tblPr>
      <w:tblGrid>
        <w:gridCol w:w="3856"/>
        <w:gridCol w:w="146"/>
        <w:gridCol w:w="228"/>
        <w:gridCol w:w="732"/>
        <w:gridCol w:w="146"/>
        <w:gridCol w:w="146"/>
        <w:gridCol w:w="263"/>
        <w:gridCol w:w="788"/>
        <w:gridCol w:w="166"/>
        <w:gridCol w:w="146"/>
        <w:gridCol w:w="211"/>
        <w:gridCol w:w="676"/>
        <w:gridCol w:w="146"/>
        <w:gridCol w:w="146"/>
        <w:gridCol w:w="246"/>
        <w:gridCol w:w="610"/>
        <w:gridCol w:w="391"/>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Gross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Net book</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remaining</w:t>
              <w:br/>
              <w:t>useful life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2"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years)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In-process research and development – RAS</w:t>
              <w:br/>
              <w:t>   Programs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8"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n/a</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Developed technology – tri-complex platform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7,480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5,145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pPr>
            <w:r>
              <w:rPr/>
              <w:t> </w:t>
            </w:r>
          </w:p>
        </w:tc>
        <w:tc>
          <w:tcPr>
            <w:tcW w:w="61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85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63,280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(2,335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60,945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i/>
          <w:sz w:val="20"/>
        </w:rPr>
        <w:t>Goodwill</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Goodwill consists of the following:</w:t>
      </w:r>
      <w:r>
        <w:rPr>
          <w:rFonts w:ascii="Times New Roman" w:hAnsi="Times New Roman"/>
          <w:sz w:val="20"/>
        </w:rPr>
        <w:t xml:space="preserve"> </w:t>
      </w:r>
    </w:p>
    <w:p>
      <w:pPr>
        <w:pStyle w:val="TextBody"/>
        <w:spacing w:lineRule="auto" w:line="273" w:before="0" w:after="0"/>
        <w:jc w:val="left"/>
        <w:rPr/>
      </w:pPr>
      <w:r>
        <w:rPr/>
        <w:t> </w:t>
      </w:r>
    </w:p>
    <w:tbl>
      <w:tblPr>
        <w:tblW w:w="4058" w:type="dxa"/>
        <w:jc w:val="left"/>
        <w:tblInd w:w="0" w:type="dxa"/>
        <w:tblCellMar>
          <w:top w:w="28" w:type="dxa"/>
          <w:left w:w="28" w:type="dxa"/>
          <w:bottom w:w="28" w:type="dxa"/>
          <w:right w:w="28" w:type="dxa"/>
        </w:tblCellMar>
      </w:tblPr>
      <w:tblGrid>
        <w:gridCol w:w="2596"/>
        <w:gridCol w:w="146"/>
        <w:gridCol w:w="267"/>
        <w:gridCol w:w="858"/>
        <w:gridCol w:w="1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14,608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14,608</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No</w:t>
      </w:r>
      <w:r>
        <w:rPr>
          <w:rFonts w:ascii="Times New Roman" w:hAnsi="Times New Roman"/>
          <w:sz w:val="20"/>
        </w:rPr>
        <w:t xml:space="preserve"> </w:t>
      </w:r>
      <w:r>
        <w:rPr>
          <w:rFonts w:ascii="Times New Roman" w:hAnsi="Times New Roman"/>
          <w:b w:val="false"/>
          <w:sz w:val="20"/>
        </w:rPr>
        <w:t>impairment has been recognized as of December 31, 2021. Goodwill is not deductible for income tax purposes.</w:t>
      </w:r>
    </w:p>
    <w:p>
      <w:pPr>
        <w:pStyle w:val="TextBody"/>
        <w:spacing w:lineRule="auto" w:line="273" w:before="360" w:after="0"/>
        <w:jc w:val="left"/>
        <w:rPr>
          <w:rFonts w:ascii="Times New Roman" w:hAnsi="Times New Roman"/>
          <w:b/>
          <w:sz w:val="20"/>
        </w:rPr>
      </w:pPr>
      <w:r>
        <w:rPr>
          <w:rFonts w:ascii="Times New Roman" w:hAnsi="Times New Roman"/>
          <w:b/>
          <w:sz w:val="20"/>
        </w:rPr>
        <w:t>7.</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Commitments and contingencies </w:t>
      </w:r>
    </w:p>
    <w:p>
      <w:pPr>
        <w:pStyle w:val="TextBody"/>
        <w:spacing w:lineRule="auto" w:line="273" w:before="120" w:after="0"/>
        <w:jc w:val="left"/>
        <w:rPr>
          <w:rFonts w:ascii="Times New Roman" w:hAnsi="Times New Roman"/>
          <w:sz w:val="20"/>
        </w:rPr>
      </w:pPr>
      <w:r>
        <w:rPr>
          <w:rFonts w:ascii="Times New Roman" w:hAnsi="Times New Roman"/>
          <w:b/>
          <w:i/>
          <w:sz w:val="20"/>
        </w:rPr>
        <w:t>Leases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January 2015, as amended in September 2016, the Company entered into an operating lease for approximately 42,000</w:t>
      </w:r>
      <w:r>
        <w:rPr>
          <w:rFonts w:ascii="Times New Roman" w:hAnsi="Times New Roman"/>
          <w:sz w:val="20"/>
        </w:rPr>
        <w:t xml:space="preserve"> </w:t>
      </w:r>
      <w:r>
        <w:rPr>
          <w:rFonts w:ascii="Times New Roman" w:hAnsi="Times New Roman"/>
          <w:b w:val="false"/>
          <w:sz w:val="20"/>
        </w:rPr>
        <w:t>square feet of office and laboratory space located at 700 Saginaw Drive, Redwood City, California (the 700 Building), with a term through April 2023. In April 2020, the Company amended the lease to lease an additional 19,000</w:t>
      </w:r>
      <w:r>
        <w:rPr>
          <w:rFonts w:ascii="Times New Roman" w:hAnsi="Times New Roman"/>
          <w:sz w:val="20"/>
        </w:rPr>
        <w:t xml:space="preserve"> </w:t>
      </w:r>
      <w:r>
        <w:rPr>
          <w:rFonts w:ascii="Times New Roman" w:hAnsi="Times New Roman"/>
          <w:b w:val="false"/>
          <w:sz w:val="20"/>
        </w:rPr>
        <w:t>square feet of office, laboratory and research and development space located at 300 Saginaw Drive, Redwood City, California (the 300 Building), and to extend the lease term through December 2030. In November 2021, the Company amended the lease to lease an additional 41,000</w:t>
      </w:r>
      <w:r>
        <w:rPr>
          <w:rFonts w:ascii="Times New Roman" w:hAnsi="Times New Roman"/>
          <w:sz w:val="20"/>
        </w:rPr>
        <w:t xml:space="preserve"> </w:t>
      </w:r>
      <w:r>
        <w:rPr>
          <w:rFonts w:ascii="Times New Roman" w:hAnsi="Times New Roman"/>
          <w:b w:val="false"/>
          <w:sz w:val="20"/>
        </w:rPr>
        <w:t>square feet of office, laboratory and research and development space located at 800 Saginaw Drive, Redwood City, California (the 800 Building), and to extend the lease term through November 2033. The Company has the option to extend the lease for an additional ten years</w:t>
      </w:r>
      <w:r>
        <w:rPr>
          <w:rFonts w:ascii="Times New Roman" w:hAnsi="Times New Roman"/>
          <w:sz w:val="20"/>
        </w:rPr>
        <w:t xml:space="preserve"> </w:t>
      </w:r>
      <w:r>
        <w:rPr>
          <w:rFonts w:ascii="Times New Roman" w:hAnsi="Times New Roman"/>
          <w:b w:val="false"/>
          <w:sz w:val="20"/>
        </w:rPr>
        <w:t>after November 30, 2033.</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maintains letters of credit for the benefit of the landlord which is disclosed as restricted cash in the consolidated balance sheets. Restricted cash related to letters of credit due to the landlord was $1.5</w:t>
      </w:r>
      <w:r>
        <w:rPr>
          <w:rFonts w:ascii="Times New Roman" w:hAnsi="Times New Roman"/>
          <w:sz w:val="20"/>
        </w:rPr>
        <w:t xml:space="preserve"> </w:t>
      </w:r>
      <w:r>
        <w:rPr>
          <w:rFonts w:ascii="Times New Roman" w:hAnsi="Times New Roman"/>
          <w:b w:val="false"/>
          <w:sz w:val="20"/>
        </w:rPr>
        <w:t>million and $0.9</w:t>
      </w:r>
      <w:r>
        <w:rPr>
          <w:rFonts w:ascii="Times New Roman" w:hAnsi="Times New Roman"/>
          <w:sz w:val="20"/>
        </w:rPr>
        <w:t xml:space="preserve"> </w:t>
      </w:r>
      <w:r>
        <w:rPr>
          <w:rFonts w:ascii="Times New Roman" w:hAnsi="Times New Roman"/>
          <w:b w:val="false"/>
          <w:sz w:val="20"/>
        </w:rPr>
        <w:t>million as of December 31, 2021 and December 31, 2020, respectively.</w:t>
      </w:r>
    </w:p>
    <w:p>
      <w:pPr>
        <w:pStyle w:val="TextBody"/>
        <w:spacing w:lineRule="auto" w:line="273" w:before="240" w:after="0"/>
        <w:jc w:val="left"/>
        <w:rPr>
          <w:rFonts w:ascii="Times New Roman" w:hAnsi="Times New Roman"/>
          <w:sz w:val="20"/>
        </w:rPr>
      </w:pPr>
      <w:r>
        <w:rPr>
          <w:rFonts w:ascii="Times New Roman" w:hAnsi="Times New Roman"/>
          <w:b w:val="false"/>
          <w:sz w:val="20"/>
        </w:rPr>
        <w:t>Through December 31, 2021, the landlord had provided the Company with $3.4</w:t>
      </w:r>
      <w:r>
        <w:rPr>
          <w:rFonts w:ascii="Times New Roman" w:hAnsi="Times New Roman"/>
          <w:sz w:val="20"/>
        </w:rPr>
        <w:t xml:space="preserve"> </w:t>
      </w:r>
      <w:r>
        <w:rPr>
          <w:rFonts w:ascii="Times New Roman" w:hAnsi="Times New Roman"/>
          <w:b w:val="false"/>
          <w:sz w:val="20"/>
        </w:rPr>
        <w:t>million in tenant improvement allowances for the 700 Building, and $4.6</w:t>
      </w:r>
      <w:r>
        <w:rPr>
          <w:rFonts w:ascii="Times New Roman" w:hAnsi="Times New Roman"/>
          <w:sz w:val="20"/>
        </w:rPr>
        <w:t xml:space="preserve"> </w:t>
      </w:r>
      <w:r>
        <w:rPr>
          <w:rFonts w:ascii="Times New Roman" w:hAnsi="Times New Roman"/>
          <w:b w:val="false"/>
          <w:sz w:val="20"/>
        </w:rPr>
        <w:t>million for the 300 building, which were recognized as lease incentives. The lease incentives are being amortized as an offset to rent expense over the lease term in the consolidated statements of operations.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Upon the execution of the lease in April 2020, which was deemed to be a lease modification, the Company re-evaluated the assumptions used during the adoption of ASC 842 for the lease. The Company determined the amendment consists of two separate contracts under ASC 842. One contract is related to a new right-of-use asset for the 300 Building, which is being accounted for as an operating lease, and the other is related to the modification of the original lease term for the 700 Building. As a result, the Company recorded a right-of-use asset of $6.4</w:t>
      </w:r>
      <w:r>
        <w:rPr>
          <w:rFonts w:ascii="Times New Roman" w:hAnsi="Times New Roman"/>
          <w:sz w:val="20"/>
        </w:rPr>
        <w:t xml:space="preserve"> </w:t>
      </w:r>
      <w:r>
        <w:rPr>
          <w:rFonts w:ascii="Times New Roman" w:hAnsi="Times New Roman"/>
          <w:b w:val="false"/>
          <w:sz w:val="20"/>
        </w:rPr>
        <w:t>million and a lease liability of $9.0</w:t>
      </w:r>
      <w:r>
        <w:rPr>
          <w:rFonts w:ascii="Times New Roman" w:hAnsi="Times New Roman"/>
          <w:sz w:val="20"/>
        </w:rPr>
        <w:t xml:space="preserve"> </w:t>
      </w:r>
      <w:r>
        <w:rPr>
          <w:rFonts w:ascii="Times New Roman" w:hAnsi="Times New Roman"/>
          <w:b w:val="false"/>
          <w:sz w:val="20"/>
        </w:rPr>
        <w:t>million for the 300 Building and an increase of $14.8</w:t>
      </w:r>
      <w:r>
        <w:rPr>
          <w:rFonts w:ascii="Times New Roman" w:hAnsi="Times New Roman"/>
          <w:sz w:val="20"/>
        </w:rPr>
        <w:t xml:space="preserve"> </w:t>
      </w:r>
      <w:r>
        <w:rPr>
          <w:rFonts w:ascii="Times New Roman" w:hAnsi="Times New Roman"/>
          <w:b w:val="false"/>
          <w:sz w:val="20"/>
        </w:rPr>
        <w:t>million to the right-of-use asset and lease liability for the 700 Building upon execution of the lease amendment. The Company is recognizing rent expense for both buildings on a straight-line basis through the remaining extended term of the lease.</w:t>
      </w:r>
    </w:p>
    <w:p>
      <w:pPr>
        <w:pStyle w:val="TextBody"/>
        <w:spacing w:lineRule="auto" w:line="273" w:before="240" w:after="0"/>
        <w:jc w:val="left"/>
        <w:rPr>
          <w:rFonts w:ascii="Times New Roman" w:hAnsi="Times New Roman"/>
          <w:sz w:val="20"/>
        </w:rPr>
      </w:pPr>
      <w:r>
        <w:rPr>
          <w:rFonts w:ascii="Times New Roman" w:hAnsi="Times New Roman"/>
          <w:b w:val="false"/>
          <w:sz w:val="20"/>
        </w:rPr>
        <w:t>Upon the execution of the lease amendment in November 2021, which was deemed to be a lease modification, the Company re-evaluated the assumptions used during the lease amendment in April 2020. The Company determined the amendment consists of two separate contracts under ASC 842. One contract is related to a new right-of-use asset for the 800 Building, which is being accounted for as an operating lease, and the other is related to the modification of the lease term, as amended in April 2020, for the 700 Building and 300 Building. As a result, the Company recorded a right-of-use asset and a lease liability of $26.8</w:t>
      </w:r>
      <w:r>
        <w:rPr>
          <w:rFonts w:ascii="Times New Roman" w:hAnsi="Times New Roman"/>
          <w:sz w:val="20"/>
        </w:rPr>
        <w:t xml:space="preserve"> </w:t>
      </w:r>
      <w:r>
        <w:rPr>
          <w:rFonts w:ascii="Times New Roman" w:hAnsi="Times New Roman"/>
          <w:b w:val="false"/>
          <w:sz w:val="20"/>
        </w:rPr>
        <w:t>million for the 800 Building and an aggregate increase of $8.6</w:t>
      </w:r>
      <w:r>
        <w:rPr>
          <w:rFonts w:ascii="Times New Roman" w:hAnsi="Times New Roman"/>
          <w:sz w:val="20"/>
        </w:rPr>
        <w:t xml:space="preserve"> </w:t>
      </w:r>
      <w:r>
        <w:rPr>
          <w:rFonts w:ascii="Times New Roman" w:hAnsi="Times New Roman"/>
          <w:b w:val="false"/>
          <w:sz w:val="20"/>
        </w:rPr>
        <w:t>million to the right-of-use assets and lease liabilities for the 700 Building and 300 Building upon execution of the lease amendment. The Company is recognizing rent expense for the buildings on a straight-line basis through the remaining extended term of the lease.</w:t>
      </w:r>
    </w:p>
    <w:p>
      <w:pPr>
        <w:pStyle w:val="TextBody"/>
        <w:spacing w:lineRule="auto" w:line="273" w:before="240" w:after="0"/>
        <w:jc w:val="left"/>
        <w:rPr>
          <w:rFonts w:ascii="Times New Roman" w:hAnsi="Times New Roman"/>
          <w:sz w:val="20"/>
        </w:rPr>
      </w:pPr>
      <w:r>
        <w:rPr>
          <w:rFonts w:ascii="Times New Roman" w:hAnsi="Times New Roman"/>
          <w:b w:val="false"/>
          <w:sz w:val="20"/>
        </w:rPr>
        <w:t>As part of the Warp Drive acquisition in October 2018, the Company assumed an operating lease for approximately 22,000</w:t>
      </w:r>
      <w:r>
        <w:rPr>
          <w:rFonts w:ascii="Times New Roman" w:hAnsi="Times New Roman"/>
          <w:sz w:val="20"/>
        </w:rPr>
        <w:t xml:space="preserve"> </w:t>
      </w:r>
      <w:r>
        <w:rPr>
          <w:rFonts w:ascii="Times New Roman" w:hAnsi="Times New Roman"/>
          <w:b w:val="false"/>
          <w:sz w:val="20"/>
        </w:rPr>
        <w:t>square feet of office and laboratory space located in Cambridge, Massachusetts (Cambridge Lease), which expires in February 2023, with an option to extend the term through February 2028, subject to certain conditions.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In conjunction with the Cambridge Lease, the Company issued a letter of credit for $0.2</w:t>
      </w:r>
      <w:r>
        <w:rPr>
          <w:rFonts w:ascii="Times New Roman" w:hAnsi="Times New Roman"/>
          <w:sz w:val="20"/>
        </w:rPr>
        <w:t xml:space="preserve"> </w:t>
      </w:r>
      <w:r>
        <w:rPr>
          <w:rFonts w:ascii="Times New Roman" w:hAnsi="Times New Roman"/>
          <w:b w:val="false"/>
          <w:sz w:val="20"/>
        </w:rPr>
        <w:t>million, which is included in restricted cash on the consolidated balance sheets as of December 31, 2021 and 2020.</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balance sheet classification of the Company’s operating lease liabilities was as follows:</w:t>
      </w:r>
    </w:p>
    <w:p>
      <w:pPr>
        <w:pStyle w:val="TextBody"/>
        <w:spacing w:lineRule="auto" w:line="273" w:before="0" w:after="0"/>
        <w:jc w:val="left"/>
        <w:rPr/>
      </w:pPr>
      <w:r>
        <w:rPr/>
        <w:t> </w:t>
      </w:r>
    </w:p>
    <w:tbl>
      <w:tblPr>
        <w:tblW w:w="5329" w:type="dxa"/>
        <w:jc w:val="left"/>
        <w:tblInd w:w="0" w:type="dxa"/>
        <w:tblCellMar>
          <w:top w:w="28" w:type="dxa"/>
          <w:left w:w="28" w:type="dxa"/>
          <w:bottom w:w="28" w:type="dxa"/>
          <w:right w:w="28" w:type="dxa"/>
        </w:tblCellMar>
      </w:tblPr>
      <w:tblGrid>
        <w:gridCol w:w="3346"/>
        <w:gridCol w:w="146"/>
        <w:gridCol w:w="357"/>
        <w:gridCol w:w="1143"/>
        <w:gridCol w:w="146"/>
        <w:gridCol w:w="191"/>
      </w:tblGrid>
      <w:tr>
        <w:trPr/>
        <w:tc>
          <w:tcPr>
            <w:tcW w:w="3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3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0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Operating lease liability – 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Operating lease liability – noncurrent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60,419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34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Total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66,633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280" w:after="0"/>
        <w:jc w:val="left"/>
        <w:rPr>
          <w:rFonts w:ascii="Times New Roman" w:hAnsi="Times New Roman"/>
          <w:sz w:val="20"/>
        </w:rPr>
      </w:pPr>
      <w:r>
        <w:rPr>
          <w:rFonts w:ascii="Times New Roman" w:hAnsi="Times New Roman"/>
          <w:b w:val="false"/>
          <w:sz w:val="20"/>
        </w:rPr>
        <w:t>For the years ended December 31, 2021 and 2020, operating lease cost was $3.4</w:t>
      </w:r>
      <w:r>
        <w:rPr>
          <w:rFonts w:ascii="Times New Roman" w:hAnsi="Times New Roman"/>
          <w:sz w:val="20"/>
        </w:rPr>
        <w:t xml:space="preserve"> </w:t>
      </w:r>
      <w:r>
        <w:rPr>
          <w:rFonts w:ascii="Times New Roman" w:hAnsi="Times New Roman"/>
          <w:b w:val="false"/>
          <w:sz w:val="20"/>
        </w:rPr>
        <w:t>million and $2.7</w:t>
      </w:r>
      <w:r>
        <w:rPr>
          <w:rFonts w:ascii="Times New Roman" w:hAnsi="Times New Roman"/>
          <w:sz w:val="20"/>
        </w:rPr>
        <w:t xml:space="preserve"> </w:t>
      </w:r>
      <w:r>
        <w:rPr>
          <w:rFonts w:ascii="Times New Roman" w:hAnsi="Times New Roman"/>
          <w:b w:val="false"/>
          <w:sz w:val="20"/>
        </w:rPr>
        <w:t>million, respectively, net of sublease income of $2.1</w:t>
      </w:r>
      <w:r>
        <w:rPr>
          <w:rFonts w:ascii="Times New Roman" w:hAnsi="Times New Roman"/>
          <w:sz w:val="20"/>
        </w:rPr>
        <w:t xml:space="preserve"> </w:t>
      </w:r>
      <w:r>
        <w:rPr>
          <w:rFonts w:ascii="Times New Roman" w:hAnsi="Times New Roman"/>
          <w:b w:val="false"/>
          <w:sz w:val="20"/>
        </w:rPr>
        <w:t>million and $1.9</w:t>
      </w:r>
      <w:r>
        <w:rPr>
          <w:rFonts w:ascii="Times New Roman" w:hAnsi="Times New Roman"/>
          <w:sz w:val="20"/>
        </w:rPr>
        <w:t xml:space="preserve"> </w:t>
      </w:r>
      <w:r>
        <w:rPr>
          <w:rFonts w:ascii="Times New Roman" w:hAnsi="Times New Roman"/>
          <w:b w:val="false"/>
          <w:sz w:val="20"/>
        </w:rPr>
        <w:t>million respectively, and tenant improvement allowance credits of $0.2</w:t>
      </w:r>
      <w:r>
        <w:rPr>
          <w:rFonts w:ascii="Times New Roman" w:hAnsi="Times New Roman"/>
          <w:sz w:val="20"/>
        </w:rPr>
        <w:t xml:space="preserve"> </w:t>
      </w:r>
      <w:r>
        <w:rPr>
          <w:rFonts w:ascii="Times New Roman" w:hAnsi="Times New Roman"/>
          <w:b w:val="false"/>
          <w:sz w:val="20"/>
        </w:rPr>
        <w:t>million and $0.2</w:t>
      </w:r>
      <w:r>
        <w:rPr>
          <w:rFonts w:ascii="Times New Roman" w:hAnsi="Times New Roman"/>
          <w:sz w:val="20"/>
        </w:rPr>
        <w:t xml:space="preserve"> </w:t>
      </w:r>
      <w:r>
        <w:rPr>
          <w:rFonts w:ascii="Times New Roman" w:hAnsi="Times New Roman"/>
          <w:b w:val="false"/>
          <w:sz w:val="20"/>
        </w:rPr>
        <w:t>million, respectively. The operating cash flows for operating leases were $1.5</w:t>
      </w:r>
      <w:r>
        <w:rPr>
          <w:rFonts w:ascii="Times New Roman" w:hAnsi="Times New Roman"/>
          <w:sz w:val="20"/>
        </w:rPr>
        <w:t xml:space="preserve"> </w:t>
      </w:r>
      <w:r>
        <w:rPr>
          <w:rFonts w:ascii="Times New Roman" w:hAnsi="Times New Roman"/>
          <w:b w:val="false"/>
          <w:sz w:val="20"/>
        </w:rPr>
        <w:t>million and $2.6</w:t>
      </w:r>
      <w:r>
        <w:rPr>
          <w:rFonts w:ascii="Times New Roman" w:hAnsi="Times New Roman"/>
          <w:sz w:val="20"/>
        </w:rPr>
        <w:t xml:space="preserve"> </w:t>
      </w:r>
      <w:r>
        <w:rPr>
          <w:rFonts w:ascii="Times New Roman" w:hAnsi="Times New Roman"/>
          <w:b w:val="false"/>
          <w:sz w:val="20"/>
        </w:rPr>
        <w:t>million year ended December 31, 2021 and 2020, respectively. Short-term lease costs were immaterial for the year ended December 31, 2021 and 2020.</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As of December 31, 2021, the maturities of the Company’s operating lease liabilities were as follows (in thousands):</w:t>
      </w:r>
    </w:p>
    <w:p>
      <w:pPr>
        <w:pStyle w:val="TextBody"/>
        <w:spacing w:lineRule="auto" w:line="273" w:before="0" w:after="0"/>
        <w:jc w:val="left"/>
        <w:rPr/>
      </w:pPr>
      <w:r>
        <w:rPr/>
        <w:t> </w:t>
      </w:r>
    </w:p>
    <w:tbl>
      <w:tblPr>
        <w:tblW w:w="4601" w:type="dxa"/>
        <w:jc w:val="left"/>
        <w:tblInd w:w="0" w:type="dxa"/>
        <w:tblCellMar>
          <w:top w:w="28" w:type="dxa"/>
          <w:left w:w="28" w:type="dxa"/>
          <w:bottom w:w="28" w:type="dxa"/>
          <w:right w:w="28" w:type="dxa"/>
        </w:tblCellMar>
      </w:tblPr>
      <w:tblGrid>
        <w:gridCol w:w="3151"/>
        <w:gridCol w:w="146"/>
        <w:gridCol w:w="211"/>
        <w:gridCol w:w="736"/>
        <w:gridCol w:w="166"/>
        <w:gridCol w:w="191"/>
      </w:tblGrid>
      <w:tr>
        <w:trPr/>
        <w:tc>
          <w:tcPr>
            <w:tcW w:w="3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4" w:type="dxa"/>
            <w:gridSpan w:val="4"/>
            <w:tcBorders/>
            <w:shd w:fill="auto" w:val="clear"/>
            <w:vAlign w:val="center"/>
          </w:tcPr>
          <w:p>
            <w:pPr>
              <w:pStyle w:val="TableContents"/>
              <w:spacing w:lineRule="auto" w:line="252" w:before="0" w:after="0"/>
              <w:ind w:left="0" w:right="0" w:hanging="0"/>
              <w:jc w:val="center"/>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7,614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6,961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7,349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60,422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undiscounted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97,052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Imputed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(29,191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Tenant improvement allowance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5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Total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66,633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280" w:after="0"/>
        <w:jc w:val="left"/>
        <w:rPr>
          <w:rFonts w:ascii="Times New Roman" w:hAnsi="Times New Roman"/>
          <w:sz w:val="20"/>
        </w:rPr>
      </w:pPr>
      <w:r>
        <w:rPr>
          <w:rFonts w:ascii="Times New Roman" w:hAnsi="Times New Roman"/>
          <w:b w:val="false"/>
          <w:sz w:val="20"/>
        </w:rPr>
        <w:t>The amounts reflected in the table above include the Company’s lease payments for the Cambridge lease, but do not reflect any offset for the sublease payments the Company is entitled to receive from Casma.</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Operating lease liabilities are based on the net present value of the remaining lease payments over the remaining lease term. In determining the present value of lease payments, the Company uses its incremental borrowing rate. The weighted-average discount rate used to determine the operating lease liability was 6.1%. As of December 31, 2021 and 2020, the weighted-average remaining lease term is 11.6</w:t>
      </w:r>
      <w:r>
        <w:rPr>
          <w:rFonts w:ascii="Times New Roman" w:hAnsi="Times New Roman"/>
          <w:sz w:val="20"/>
        </w:rPr>
        <w:t xml:space="preserve"> </w:t>
      </w:r>
      <w:r>
        <w:rPr>
          <w:rFonts w:ascii="Times New Roman" w:hAnsi="Times New Roman"/>
          <w:b w:val="false"/>
          <w:sz w:val="20"/>
        </w:rPr>
        <w:t>years and 9.1</w:t>
      </w:r>
      <w:r>
        <w:rPr>
          <w:rFonts w:ascii="Times New Roman" w:hAnsi="Times New Roman"/>
          <w:sz w:val="20"/>
        </w:rPr>
        <w:t xml:space="preserve"> </w:t>
      </w:r>
      <w:r>
        <w:rPr>
          <w:rFonts w:ascii="Times New Roman" w:hAnsi="Times New Roman"/>
          <w:b w:val="false"/>
          <w:sz w:val="20"/>
        </w:rPr>
        <w:t>years, respectively.</w:t>
      </w:r>
    </w:p>
    <w:p>
      <w:pPr>
        <w:pStyle w:val="TextBody"/>
        <w:spacing w:lineRule="auto" w:line="273" w:before="360" w:after="0"/>
        <w:jc w:val="left"/>
        <w:rPr>
          <w:rFonts w:ascii="Times New Roman" w:hAnsi="Times New Roman"/>
          <w:sz w:val="20"/>
        </w:rPr>
      </w:pPr>
      <w:r>
        <w:rPr>
          <w:rFonts w:ascii="Times New Roman" w:hAnsi="Times New Roman"/>
          <w:b/>
          <w:i/>
          <w:sz w:val="20"/>
        </w:rPr>
        <w:t>Legal matters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From time to time, the Company may be involved in litigation related to claims that arise in the ordinary course of its business activities. The Company accrues for these matters when it is probable that losses will be incurred and these losses can be reasonably estimated. As of December 31, 2021 and 2020, the Company does not believe that any such matters, individually or in the aggregate, will have a material adverse effect on the Company’s financial position, results of operations or cash flows.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Indemnification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not incurred costs to defend lawsuits or settle claims related to these indemnification agreements. As a result, the Company believes the fair value of these agreements is minimal. </w:t>
        <w:br/>
        <w:br/>
      </w:r>
      <w:r>
        <w:rPr>
          <w:rFonts w:ascii="Times New Roman" w:hAnsi="Times New Roman"/>
          <w:b/>
          <w:i/>
          <w:sz w:val="20"/>
        </w:rPr>
        <w:t>Other</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enter into agreements in the normal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w:t>
      </w:r>
    </w:p>
    <w:p>
      <w:pPr>
        <w:pStyle w:val="TextBody"/>
        <w:spacing w:lineRule="auto" w:line="273" w:before="360" w:after="0"/>
        <w:jc w:val="left"/>
        <w:rPr>
          <w:rFonts w:ascii="Times New Roman" w:hAnsi="Times New Roman"/>
          <w:b/>
          <w:sz w:val="20"/>
        </w:rPr>
      </w:pPr>
      <w:r>
        <w:rPr>
          <w:rFonts w:ascii="Times New Roman" w:hAnsi="Times New Roman"/>
          <w:b/>
          <w:sz w:val="20"/>
        </w:rPr>
        <w:t>8.</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Sanofi collaboration agreement </w:t>
      </w:r>
    </w:p>
    <w:p>
      <w:pPr>
        <w:pStyle w:val="TextBody"/>
        <w:spacing w:lineRule="auto" w:line="273" w:before="120" w:after="0"/>
        <w:jc w:val="left"/>
        <w:rPr>
          <w:rFonts w:ascii="Times New Roman" w:hAnsi="Times New Roman"/>
          <w:sz w:val="20"/>
        </w:rPr>
      </w:pPr>
      <w:r>
        <w:rPr>
          <w:rFonts w:ascii="Times New Roman" w:hAnsi="Times New Roman"/>
          <w:b w:val="false"/>
          <w:sz w:val="20"/>
        </w:rPr>
        <w:t>In June 2018, the Company entered into a collaborative research, development and commercialization agreement (the Sanofi Agreement) with Aventis, Inc. (an affiliate of Sanofi)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of obligations under the Sanofi Agreement.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October 2018, the Company acquired Warp Drive in exchange for issuance of shares of the Company’s Series B redeemable convertible preferred stock and payment of cash. Sanofi was a stockholder of Warp Drive and received the Company’s Series B redeemable convertible preferred stock during the transaction and accordingly became an investor and related party of the Company. As a result of the Company’s underwritten offering of common stock in February 2021, Sanofi’s ownership percentage in the Company decreased and Sanofi is no longer considered a related party.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Under the Sanofi Agreement, the Company received a non-refundable, upfront cash payment of $50</w:t>
      </w:r>
      <w:r>
        <w:rPr>
          <w:rFonts w:ascii="Times New Roman" w:hAnsi="Times New Roman"/>
          <w:sz w:val="20"/>
        </w:rPr>
        <w:t xml:space="preserve"> </w:t>
      </w:r>
      <w:r>
        <w:rPr>
          <w:rFonts w:ascii="Times New Roman" w:hAnsi="Times New Roman"/>
          <w:b w:val="false"/>
          <w:sz w:val="20"/>
        </w:rPr>
        <w:t>million in July 2018 and could also receive up to $520</w:t>
      </w:r>
      <w:r>
        <w:rPr>
          <w:rFonts w:ascii="Times New Roman" w:hAnsi="Times New Roman"/>
          <w:sz w:val="20"/>
        </w:rPr>
        <w:t xml:space="preserve"> </w:t>
      </w:r>
      <w:r>
        <w:rPr>
          <w:rFonts w:ascii="Times New Roman" w:hAnsi="Times New Roman"/>
          <w:b w:val="false"/>
          <w:sz w:val="20"/>
        </w:rPr>
        <w:t>million in development and regulatory milestone payments, including up to $235</w:t>
      </w:r>
      <w:r>
        <w:rPr>
          <w:rFonts w:ascii="Times New Roman" w:hAnsi="Times New Roman"/>
          <w:sz w:val="20"/>
        </w:rPr>
        <w:t xml:space="preserve"> </w:t>
      </w:r>
      <w:r>
        <w:rPr>
          <w:rFonts w:ascii="Times New Roman" w:hAnsi="Times New Roman"/>
          <w:b w:val="false"/>
          <w:sz w:val="20"/>
        </w:rPr>
        <w:t>million upon the achievement of specified development milestones and up to $285</w:t>
      </w:r>
      <w:r>
        <w:rPr>
          <w:rFonts w:ascii="Times New Roman" w:hAnsi="Times New Roman"/>
          <w:sz w:val="20"/>
        </w:rPr>
        <w:t xml:space="preserve"> </w:t>
      </w:r>
      <w:r>
        <w:rPr>
          <w:rFonts w:ascii="Times New Roman" w:hAnsi="Times New Roman"/>
          <w:b w:val="false"/>
          <w:sz w:val="20"/>
        </w:rPr>
        <w:t>million upon the achievement of certain marketing approval milestones.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has primary responsibility for early clinical development of RMC-4630 and is responsible for the manufacture of SHP2 inhibitors for Phase 1 and non-registrational Phase 2 clinical trials pursuant to a development plan that is currently approved through 2022. In August 2021, the Company entered into a letter agreement with Sanofi (the Letter Agreement) to include an additional clinical study, RMC-4630-03, as part of the Company’s responsibilities under the development plan. Sanofi is responsible to reimburse the Company all internal and external costs and expenses to perform the Company’s activities under approved development plans, except for costs and expenses related to studies designated in the Sanofi Agreement as RevMed Studies, for which the Company will bear all costs and expenses, and for the RMC-4630-03 study, for which Sanofi will reimburse the Company for 50% of the costs and expenses. Unreimbursed costs borne by the Company for any RevMed Studies and the Company's 50% share of the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RMC-4630-03 collaboration study are subject to future reimbursement by Sanofi through a buy-in payment pursuant to the terms of the Sanofi Agreement if Sanofi uses the data from a RevMed Study or the RMC-4630-03 study in support of a marketing approval application. There currently are no active RevMed Studies.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Company is also primarily responsible for performing preclinical research on SHP2 inhibitors pursuant to a research plan that is currently approved through 2021. The parties currently do not anticipate additional collaboration preclinical research under the research plan in 2022. Sanofi is responsible to reimburse the Company for all internal and external costs and expenses incurred to perform activities under approved research plans, with the exception of internal and external research costs and expenses under the approved research plans for 2019 and 2020, for which Sanofi was obligated to reimburse the Company for 80% of such costs. The Company was responsible for 20% of all internal and external research costs incurred under the research plans for 2019 and 2020. Sanofi is responsible to reimburse the Company for all internal and external costs and expenses incurred under the research plan for 2021.</w:t>
      </w:r>
    </w:p>
    <w:p>
      <w:pPr>
        <w:pStyle w:val="TextBody"/>
        <w:spacing w:lineRule="auto" w:line="273" w:before="240" w:after="0"/>
        <w:jc w:val="left"/>
        <w:rPr>
          <w:rFonts w:ascii="Times New Roman" w:hAnsi="Times New Roman"/>
          <w:sz w:val="20"/>
        </w:rPr>
      </w:pPr>
      <w:r>
        <w:rPr>
          <w:rFonts w:ascii="Times New Roman" w:hAnsi="Times New Roman"/>
          <w:b w:val="false"/>
          <w:sz w:val="20"/>
        </w:rPr>
        <w:t>In the United States, the Company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the Company tiered royalties on annual net sales of each product outside the United States ranging from high single digit to mid-teen percentages.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Unless terminated earlier, the Sanofi Agreement will continue in effect until the later of the expiration of all of Sanofi’s milestone and royalty payment obligations and the expiration of the profit/loss share agreement. Sanofi may terminate the Sanofi Agreement in its entirety or on a country-by-country or product-by-product basis for any reason or for significant safety concerns, upon prior notice to the Company. Sanofi may terminate the Sanofi Agreement in its entirety upon a change of control in the Company, with prior notice. Either party may terminate the Sanofi Agreement if an undisputed material breach by the other party is not cured within a defined period of time, or immediately upon notice for insolvency-related events of the other party. The Company may terminate the Sanofi Agreement after a certain number of years if Sanofi develops a competing program without commencing a registrational clinical trial for a SHP2 inhibitor product candidate, and subject to certain other conditions. The Company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the Company.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 concluded that the research, development and manufacturing services are not distinct from the license, and thus the license, research and development services and manufacturing services are combined into a single performance obligation.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For revenue recognition purposes, the Company determined that the duration of the contract begins on the effective date of the Sanofi Agreement in July 2018 and ends upon completion of the non-registrational clinical trials. The contract duration is defined as the period in which parties to the contract have present enforceable rights and obligations. The Company analyzed the impact of Sanofi terminating the agreement prior to the completion of these trials and determined that there were significant economic costs to Sanofi for doing so.</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determined that the transaction price of the Sanofi Agreement was $190.4</w:t>
      </w:r>
      <w:r>
        <w:rPr>
          <w:rFonts w:ascii="Times New Roman" w:hAnsi="Times New Roman"/>
          <w:sz w:val="20"/>
        </w:rPr>
        <w:t xml:space="preserve"> </w:t>
      </w:r>
      <w:r>
        <w:rPr>
          <w:rFonts w:ascii="Times New Roman" w:hAnsi="Times New Roman"/>
          <w:b w:val="false"/>
          <w:sz w:val="20"/>
        </w:rPr>
        <w:t>million as of December 31, 2021. In order to determine the transaction price, the Company evaluated all the payments to be received during the duration of the contract. The Company determined that the $50.0</w:t>
      </w:r>
      <w:r>
        <w:rPr>
          <w:rFonts w:ascii="Times New Roman" w:hAnsi="Times New Roman"/>
          <w:sz w:val="20"/>
        </w:rPr>
        <w:t xml:space="preserve"> </w:t>
      </w:r>
      <w:r>
        <w:rPr>
          <w:rFonts w:ascii="Times New Roman" w:hAnsi="Times New Roman"/>
          <w:b w:val="false"/>
          <w:sz w:val="20"/>
        </w:rPr>
        <w:t>million upfront payment and $140.4</w:t>
      </w:r>
      <w:r>
        <w:rPr>
          <w:rFonts w:ascii="Times New Roman" w:hAnsi="Times New Roman"/>
          <w:sz w:val="20"/>
        </w:rPr>
        <w:t xml:space="preserve"> </w:t>
      </w:r>
      <w:r>
        <w:rPr>
          <w:rFonts w:ascii="Times New Roman" w:hAnsi="Times New Roman"/>
          <w:b w:val="false"/>
          <w:sz w:val="20"/>
        </w:rPr>
        <w:t>million of estimated variable consideration for expense reimbursements from Sanofi for agreed upon research and development services as of December 31, 2021 constituted consideration to be included in the transaction price, which is to be allocated to the combined performance obligation. Development and regulatory milestones under the Sanofi Agreement were considered but not included in the transaction price, as it is probable that a significant revenue reversal could occur if they were included. The Company will re-evaluate the transaction price in each reporting period and as uncertain events are resolved or other changes in circumstances occur.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license, research, development and manufacturing services are combined as one performance obligation that will be performed over the duration of the contract, which is from the effective date of the Sanofi Agreement through to the completion of studies. The Company concluded that it would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As noted above, a percentage of the actual costs incurred under approved research and development plans are reimbursed by Sanofi under the collaboration agreement. The research and development plans are determined by a joint research and development committee, over which Sanofi has final decision-making subject to certain exceptions. Revenue is recognized under the collaboration agreement with Sanofi, based on actual costs incurred as a percentage of total estimated costs to be incurred over the performance obligation as the Company completes its performance obligation. The cumulative effect of revisions to estimated costs to complete the Company’s performance obligations will be recorded in the period in which changes are identified and amounts can be reasonably estimated.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determined that the added development services related to RMC-4630-03 under the Letter Agreement are an extension of services under the development plan that are not distinct from the single performance obligation under the initial Sanofi Agreement. Accordingly, the Company determined the Letter Agreement represented a contract modification that will be accounted for as an adjustment to the existing contract by applying a cumulative catch-up adjustment to collaboration revenue. Concurrent with entering into the Letter Agreement, the Company and Sanofi decided to no longer enroll new patients in the RMC-4630-02 clinical study. The Company calculated the adjusted cumulative revenue under the agreements by updating the transaction price for the estimated consideration to be received, updating the estimated costs to fulfill the performance obligation and decreasing the estimated percentage of completion to date, which resulted in a cumulative catch-up adjustment for the year ended December 31, 2021, that reduced collaboration revenue by $8.5</w:t>
      </w:r>
      <w:r>
        <w:rPr>
          <w:rFonts w:ascii="Times New Roman" w:hAnsi="Times New Roman"/>
          <w:sz w:val="20"/>
        </w:rPr>
        <w:t xml:space="preserve"> </w:t>
      </w:r>
      <w:r>
        <w:rPr>
          <w:rFonts w:ascii="Times New Roman" w:hAnsi="Times New Roman"/>
          <w:b w:val="false"/>
          <w:sz w:val="20"/>
        </w:rPr>
        <w:t>million.</w:t>
      </w:r>
    </w:p>
    <w:p>
      <w:pPr>
        <w:pStyle w:val="TextBody"/>
        <w:spacing w:lineRule="auto" w:line="273" w:before="240" w:after="0"/>
        <w:jc w:val="left"/>
        <w:rPr>
          <w:rFonts w:ascii="Times New Roman" w:hAnsi="Times New Roman"/>
          <w:sz w:val="20"/>
        </w:rPr>
      </w:pPr>
      <w:r>
        <w:rPr>
          <w:rFonts w:ascii="Times New Roman" w:hAnsi="Times New Roman"/>
          <w:b w:val="false"/>
          <w:sz w:val="20"/>
        </w:rPr>
        <w:t>During the years ended December 31, 2021, 2020 and 2019, the Company recognized $29.4</w:t>
      </w:r>
      <w:r>
        <w:rPr>
          <w:rFonts w:ascii="Times New Roman" w:hAnsi="Times New Roman"/>
          <w:sz w:val="20"/>
        </w:rPr>
        <w:t xml:space="preserve"> </w:t>
      </w:r>
      <w:r>
        <w:rPr>
          <w:rFonts w:ascii="Times New Roman" w:hAnsi="Times New Roman"/>
          <w:b w:val="false"/>
          <w:sz w:val="20"/>
        </w:rPr>
        <w:t>million, $43.0</w:t>
      </w:r>
      <w:r>
        <w:rPr>
          <w:rFonts w:ascii="Times New Roman" w:hAnsi="Times New Roman"/>
          <w:sz w:val="20"/>
        </w:rPr>
        <w:t xml:space="preserve"> </w:t>
      </w:r>
      <w:r>
        <w:rPr>
          <w:rFonts w:ascii="Times New Roman" w:hAnsi="Times New Roman"/>
          <w:b w:val="false"/>
          <w:sz w:val="20"/>
        </w:rPr>
        <w:t>million and $50.0</w:t>
      </w:r>
      <w:r>
        <w:rPr>
          <w:rFonts w:ascii="Times New Roman" w:hAnsi="Times New Roman"/>
          <w:sz w:val="20"/>
        </w:rPr>
        <w:t xml:space="preserve"> </w:t>
      </w:r>
      <w:r>
        <w:rPr>
          <w:rFonts w:ascii="Times New Roman" w:hAnsi="Times New Roman"/>
          <w:b w:val="false"/>
          <w:sz w:val="20"/>
        </w:rPr>
        <w:t>million of collaboration revenue associated with this agreement, respectively.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of December 31, 2021 and 2020, $12.4</w:t>
      </w:r>
      <w:r>
        <w:rPr>
          <w:rFonts w:ascii="Times New Roman" w:hAnsi="Times New Roman"/>
          <w:sz w:val="20"/>
        </w:rPr>
        <w:t xml:space="preserve"> </w:t>
      </w:r>
      <w:r>
        <w:rPr>
          <w:rFonts w:ascii="Times New Roman" w:hAnsi="Times New Roman"/>
          <w:b w:val="false"/>
          <w:sz w:val="20"/>
        </w:rPr>
        <w:t>million and $12.1</w:t>
      </w:r>
      <w:r>
        <w:rPr>
          <w:rFonts w:ascii="Times New Roman" w:hAnsi="Times New Roman"/>
          <w:sz w:val="20"/>
        </w:rPr>
        <w:t xml:space="preserve"> </w:t>
      </w:r>
      <w:r>
        <w:rPr>
          <w:rFonts w:ascii="Times New Roman" w:hAnsi="Times New Roman"/>
          <w:b w:val="false"/>
          <w:sz w:val="20"/>
        </w:rPr>
        <w:t>million of deferred revenue is classified as current and $6.6</w:t>
      </w:r>
      <w:r>
        <w:rPr>
          <w:rFonts w:ascii="Times New Roman" w:hAnsi="Times New Roman"/>
          <w:sz w:val="20"/>
        </w:rPr>
        <w:t xml:space="preserve"> </w:t>
      </w:r>
      <w:r>
        <w:rPr>
          <w:rFonts w:ascii="Times New Roman" w:hAnsi="Times New Roman"/>
          <w:b w:val="false"/>
          <w:sz w:val="20"/>
        </w:rPr>
        <w:t>million and $8.5</w:t>
      </w:r>
      <w:r>
        <w:rPr>
          <w:rFonts w:ascii="Times New Roman" w:hAnsi="Times New Roman"/>
          <w:sz w:val="20"/>
        </w:rPr>
        <w:t xml:space="preserve"> </w:t>
      </w:r>
      <w:r>
        <w:rPr>
          <w:rFonts w:ascii="Times New Roman" w:hAnsi="Times New Roman"/>
          <w:b w:val="false"/>
          <w:sz w:val="20"/>
        </w:rPr>
        <w:t>million is classified as noncurrent.</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9.</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Redeemable convertible preferred stock </w:t>
      </w:r>
    </w:p>
    <w:p>
      <w:pPr>
        <w:pStyle w:val="TextBody"/>
        <w:spacing w:lineRule="auto" w:line="273" w:before="120" w:after="0"/>
        <w:jc w:val="left"/>
        <w:rPr>
          <w:rFonts w:ascii="Times New Roman" w:hAnsi="Times New Roman"/>
          <w:sz w:val="20"/>
        </w:rPr>
      </w:pPr>
      <w:r>
        <w:rPr>
          <w:rFonts w:ascii="Times New Roman" w:hAnsi="Times New Roman"/>
          <w:b w:val="false"/>
          <w:sz w:val="20"/>
        </w:rPr>
        <w:t>From December 2014 to May 2017, the Company issued a total of 14,430,799</w:t>
      </w:r>
      <w:r>
        <w:rPr>
          <w:rFonts w:ascii="Times New Roman" w:hAnsi="Times New Roman"/>
          <w:sz w:val="20"/>
        </w:rPr>
        <w:t xml:space="preserve"> </w:t>
      </w:r>
      <w:r>
        <w:rPr>
          <w:rFonts w:ascii="Times New Roman" w:hAnsi="Times New Roman"/>
          <w:b w:val="false"/>
          <w:sz w:val="20"/>
        </w:rPr>
        <w:t>shares of Series A redeemable convertible preferred stock at a price per share of $4.87</w:t>
      </w:r>
      <w:r>
        <w:rPr>
          <w:rFonts w:ascii="Times New Roman" w:hAnsi="Times New Roman"/>
          <w:sz w:val="20"/>
        </w:rPr>
        <w:t xml:space="preserve"> </w:t>
      </w:r>
      <w:r>
        <w:rPr>
          <w:rFonts w:ascii="Times New Roman" w:hAnsi="Times New Roman"/>
          <w:b w:val="false"/>
          <w:sz w:val="20"/>
        </w:rPr>
        <w:t>for proceeds of $70.1</w:t>
      </w:r>
      <w:r>
        <w:rPr>
          <w:rFonts w:ascii="Times New Roman" w:hAnsi="Times New Roman"/>
          <w:sz w:val="20"/>
        </w:rPr>
        <w:t xml:space="preserve"> </w:t>
      </w:r>
      <w:r>
        <w:rPr>
          <w:rFonts w:ascii="Times New Roman" w:hAnsi="Times New Roman"/>
          <w:b w:val="false"/>
          <w:sz w:val="20"/>
        </w:rPr>
        <w:t>million, net of issuance costs.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March and June 2018, the Company issued a total of 7,731,155</w:t>
      </w:r>
      <w:r>
        <w:rPr>
          <w:rFonts w:ascii="Times New Roman" w:hAnsi="Times New Roman"/>
          <w:sz w:val="20"/>
        </w:rPr>
        <w:t xml:space="preserve"> </w:t>
      </w:r>
      <w:r>
        <w:rPr>
          <w:rFonts w:ascii="Times New Roman" w:hAnsi="Times New Roman"/>
          <w:b w:val="false"/>
          <w:sz w:val="20"/>
        </w:rPr>
        <w:t>shares of Series B redeemable convertible preferred stock at a price per share of $7.30</w:t>
      </w:r>
      <w:r>
        <w:rPr>
          <w:rFonts w:ascii="Times New Roman" w:hAnsi="Times New Roman"/>
          <w:sz w:val="20"/>
        </w:rPr>
        <w:t xml:space="preserve"> </w:t>
      </w:r>
      <w:r>
        <w:rPr>
          <w:rFonts w:ascii="Times New Roman" w:hAnsi="Times New Roman"/>
          <w:b w:val="false"/>
          <w:sz w:val="20"/>
        </w:rPr>
        <w:t>for proceeds of $56.2</w:t>
      </w:r>
      <w:r>
        <w:rPr>
          <w:rFonts w:ascii="Times New Roman" w:hAnsi="Times New Roman"/>
          <w:sz w:val="20"/>
        </w:rPr>
        <w:t xml:space="preserve"> </w:t>
      </w:r>
      <w:r>
        <w:rPr>
          <w:rFonts w:ascii="Times New Roman" w:hAnsi="Times New Roman"/>
          <w:b w:val="false"/>
          <w:sz w:val="20"/>
        </w:rPr>
        <w:t>million, net of issuance costs. In October 2018, the Company issued 6,797,915</w:t>
      </w:r>
      <w:r>
        <w:rPr>
          <w:rFonts w:ascii="Times New Roman" w:hAnsi="Times New Roman"/>
          <w:sz w:val="20"/>
        </w:rPr>
        <w:t xml:space="preserve"> </w:t>
      </w:r>
      <w:r>
        <w:rPr>
          <w:rFonts w:ascii="Times New Roman" w:hAnsi="Times New Roman"/>
          <w:b w:val="false"/>
          <w:sz w:val="20"/>
        </w:rPr>
        <w:t>shares of Series B redeemable convertible preferred stock in conjunction with acquiring Warp Drive. As part of the Warp Drive acquisition, the Company assumed $2.0</w:t>
      </w:r>
      <w:r>
        <w:rPr>
          <w:rFonts w:ascii="Times New Roman" w:hAnsi="Times New Roman"/>
          <w:sz w:val="20"/>
        </w:rPr>
        <w:t xml:space="preserve"> </w:t>
      </w:r>
      <w:r>
        <w:rPr>
          <w:rFonts w:ascii="Times New Roman" w:hAnsi="Times New Roman"/>
          <w:b w:val="false"/>
          <w:sz w:val="20"/>
        </w:rPr>
        <w:t>million in convertible notes payable, which was fully converted into 200,493</w:t>
      </w:r>
      <w:r>
        <w:rPr>
          <w:rFonts w:ascii="Times New Roman" w:hAnsi="Times New Roman"/>
          <w:sz w:val="20"/>
        </w:rPr>
        <w:t xml:space="preserve"> </w:t>
      </w:r>
      <w:r>
        <w:rPr>
          <w:rFonts w:ascii="Times New Roman" w:hAnsi="Times New Roman"/>
          <w:b w:val="false"/>
          <w:sz w:val="20"/>
        </w:rPr>
        <w:t>shares of Series B redeemable convertible preferred stock in October 2018. In November 2018, the Company issued 435,547</w:t>
      </w:r>
      <w:r>
        <w:rPr>
          <w:rFonts w:ascii="Times New Roman" w:hAnsi="Times New Roman"/>
          <w:sz w:val="20"/>
        </w:rPr>
        <w:t xml:space="preserve"> </w:t>
      </w:r>
      <w:r>
        <w:rPr>
          <w:rFonts w:ascii="Times New Roman" w:hAnsi="Times New Roman"/>
          <w:b w:val="false"/>
          <w:sz w:val="20"/>
        </w:rPr>
        <w:t>shares of Series B redeemable convertible preferred stock at a price per share of $10.03</w:t>
      </w:r>
      <w:r>
        <w:rPr>
          <w:rFonts w:ascii="Times New Roman" w:hAnsi="Times New Roman"/>
          <w:sz w:val="20"/>
        </w:rPr>
        <w:t xml:space="preserve"> </w:t>
      </w:r>
      <w:r>
        <w:rPr>
          <w:rFonts w:ascii="Times New Roman" w:hAnsi="Times New Roman"/>
          <w:b w:val="false"/>
          <w:sz w:val="20"/>
        </w:rPr>
        <w:t>for proceeds of $4.3</w:t>
      </w:r>
      <w:r>
        <w:rPr>
          <w:rFonts w:ascii="Times New Roman" w:hAnsi="Times New Roman"/>
          <w:sz w:val="20"/>
        </w:rPr>
        <w:t xml:space="preserve"> </w:t>
      </w:r>
      <w:r>
        <w:rPr>
          <w:rFonts w:ascii="Times New Roman" w:hAnsi="Times New Roman"/>
          <w:b w:val="false"/>
          <w:sz w:val="20"/>
        </w:rPr>
        <w:t>million, net of issuance costs.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In June and July 2019, the Company issued a total 10,004,514</w:t>
      </w:r>
      <w:r>
        <w:rPr>
          <w:rFonts w:ascii="Times New Roman" w:hAnsi="Times New Roman"/>
          <w:sz w:val="20"/>
        </w:rPr>
        <w:t xml:space="preserve"> </w:t>
      </w:r>
      <w:r>
        <w:rPr>
          <w:rFonts w:ascii="Times New Roman" w:hAnsi="Times New Roman"/>
          <w:b w:val="false"/>
          <w:sz w:val="20"/>
        </w:rPr>
        <w:t>shares of Series C redeemable convertible preferred stock at a price per share of $10.03</w:t>
      </w:r>
      <w:r>
        <w:rPr>
          <w:rFonts w:ascii="Times New Roman" w:hAnsi="Times New Roman"/>
          <w:sz w:val="20"/>
        </w:rPr>
        <w:t xml:space="preserve"> </w:t>
      </w:r>
      <w:r>
        <w:rPr>
          <w:rFonts w:ascii="Times New Roman" w:hAnsi="Times New Roman"/>
          <w:b w:val="false"/>
          <w:sz w:val="20"/>
        </w:rPr>
        <w:t>for proceeds of $100.0</w:t>
      </w:r>
      <w:r>
        <w:rPr>
          <w:rFonts w:ascii="Times New Roman" w:hAnsi="Times New Roman"/>
          <w:sz w:val="20"/>
        </w:rPr>
        <w:t xml:space="preserve"> </w:t>
      </w:r>
      <w:r>
        <w:rPr>
          <w:rFonts w:ascii="Times New Roman" w:hAnsi="Times New Roman"/>
          <w:b w:val="false"/>
          <w:sz w:val="20"/>
        </w:rPr>
        <w:t>million, net of issuance costs.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val="false"/>
          <w:sz w:val="20"/>
        </w:rPr>
        <w:t>Upon the closing of the IPO in February 2020, all shares of redeemable convertible preferred stock then outstanding converted into 39,600,423</w:t>
      </w:r>
      <w:r>
        <w:rPr>
          <w:rFonts w:ascii="Times New Roman" w:hAnsi="Times New Roman"/>
          <w:sz w:val="20"/>
        </w:rPr>
        <w:t xml:space="preserve"> </w:t>
      </w:r>
      <w:r>
        <w:rPr>
          <w:rFonts w:ascii="Times New Roman" w:hAnsi="Times New Roman"/>
          <w:b w:val="false"/>
          <w:sz w:val="20"/>
        </w:rPr>
        <w:t>shares of common stock. There were no</w:t>
      </w:r>
      <w:r>
        <w:rPr>
          <w:rFonts w:ascii="Times New Roman" w:hAnsi="Times New Roman"/>
          <w:sz w:val="20"/>
        </w:rPr>
        <w:t xml:space="preserve"> </w:t>
      </w:r>
      <w:r>
        <w:rPr>
          <w:rFonts w:ascii="Times New Roman" w:hAnsi="Times New Roman"/>
          <w:b w:val="false"/>
          <w:sz w:val="20"/>
        </w:rPr>
        <w:t>shares of redeemable convertible preferred stock outstanding as of December 31, 2021 and 2020.</w:t>
      </w:r>
    </w:p>
    <w:p>
      <w:pPr>
        <w:pStyle w:val="TextBody"/>
        <w:spacing w:lineRule="auto" w:line="273" w:before="360" w:after="0"/>
        <w:jc w:val="left"/>
        <w:rPr>
          <w:rFonts w:ascii="Times New Roman" w:hAnsi="Times New Roman"/>
          <w:b/>
          <w:sz w:val="20"/>
        </w:rPr>
      </w:pPr>
      <w:r>
        <w:rPr>
          <w:rFonts w:ascii="Times New Roman" w:hAnsi="Times New Roman"/>
          <w:b/>
          <w:sz w:val="20"/>
        </w:rPr>
        <w:t>10.</w:t>
      </w:r>
    </w:p>
    <w:p>
      <w:pPr>
        <w:pStyle w:val="TextBody"/>
        <w:spacing w:lineRule="auto" w:line="273" w:before="360" w:after="283"/>
        <w:jc w:val="left"/>
        <w:rPr>
          <w:rFonts w:ascii="Times New Roman" w:hAnsi="Times New Roman"/>
          <w:b/>
          <w:sz w:val="20"/>
        </w:rPr>
      </w:pPr>
      <w:r>
        <w:rPr>
          <w:rFonts w:ascii="Times New Roman" w:hAnsi="Times New Roman"/>
          <w:b/>
          <w:sz w:val="20"/>
        </w:rPr>
        <w:t xml:space="preserve">Common stock </w:t>
      </w:r>
    </w:p>
    <w:p>
      <w:pPr>
        <w:pStyle w:val="TextBody"/>
        <w:spacing w:lineRule="auto" w:line="273" w:before="120" w:after="0"/>
        <w:jc w:val="left"/>
        <w:rPr>
          <w:rFonts w:ascii="Times New Roman" w:hAnsi="Times New Roman"/>
          <w:sz w:val="20"/>
        </w:rPr>
      </w:pPr>
      <w:r>
        <w:rPr>
          <w:rFonts w:ascii="Times New Roman" w:hAnsi="Times New Roman"/>
          <w:b w:val="false"/>
          <w:sz w:val="20"/>
        </w:rPr>
        <w:t>As of December 31, 2021 and 2020, the Company’s certificate of incorporation authorized the Company to issue 300,000,000</w:t>
      </w:r>
      <w:r>
        <w:rPr>
          <w:rFonts w:ascii="Times New Roman" w:hAnsi="Times New Roman"/>
          <w:sz w:val="20"/>
        </w:rPr>
        <w:t xml:space="preserve"> </w:t>
      </w:r>
      <w:r>
        <w:rPr>
          <w:rFonts w:ascii="Times New Roman" w:hAnsi="Times New Roman"/>
          <w:b w:val="false"/>
          <w:sz w:val="20"/>
        </w:rPr>
        <w:t>shares of common stock, at a par value of $0.0001</w:t>
      </w:r>
      <w:r>
        <w:rPr>
          <w:rFonts w:ascii="Times New Roman" w:hAnsi="Times New Roman"/>
          <w:sz w:val="20"/>
        </w:rPr>
        <w:t xml:space="preserve"> </w:t>
      </w:r>
      <w:r>
        <w:rPr>
          <w:rFonts w:ascii="Times New Roman" w:hAnsi="Times New Roman"/>
          <w:b w:val="false"/>
          <w:sz w:val="20"/>
        </w:rPr>
        <w:t>per share. Each share of common stock is entitled to one</w:t>
      </w:r>
      <w:r>
        <w:rPr>
          <w:rFonts w:ascii="Times New Roman" w:hAnsi="Times New Roman"/>
          <w:sz w:val="20"/>
        </w:rPr>
        <w:t xml:space="preserve"> </w:t>
      </w:r>
      <w:r>
        <w:rPr>
          <w:rFonts w:ascii="Times New Roman" w:hAnsi="Times New Roman"/>
          <w:b w:val="false"/>
          <w:sz w:val="20"/>
        </w:rPr>
        <w:t>vote. The holders of common stock are also entitled to receive dividends whenever funds are legally available and when declared by the Board of Directors, subject to prior rights of the redeemable convertible preferred stockholders. As of December 31, 2021, no</w:t>
      </w:r>
      <w:r>
        <w:rPr>
          <w:rFonts w:ascii="Times New Roman" w:hAnsi="Times New Roman"/>
          <w:sz w:val="20"/>
        </w:rPr>
        <w:t xml:space="preserve"> </w:t>
      </w:r>
      <w:r>
        <w:rPr>
          <w:rFonts w:ascii="Times New Roman" w:hAnsi="Times New Roman"/>
          <w:b w:val="false"/>
          <w:sz w:val="20"/>
        </w:rPr>
        <w:t>dividends have been declared to date.</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Company has reserved shares of common stock for future issuance as follows:</w:t>
      </w:r>
    </w:p>
    <w:p>
      <w:pPr>
        <w:pStyle w:val="TextBody"/>
        <w:spacing w:lineRule="auto" w:line="273" w:before="0" w:after="0"/>
        <w:jc w:val="left"/>
        <w:rPr/>
      </w:pPr>
      <w:r>
        <w:rPr/>
        <w:t> </w:t>
      </w:r>
    </w:p>
    <w:tbl>
      <w:tblPr>
        <w:tblW w:w="8939" w:type="dxa"/>
        <w:jc w:val="left"/>
        <w:tblInd w:w="0" w:type="dxa"/>
        <w:tblCellMar>
          <w:top w:w="28" w:type="dxa"/>
          <w:left w:w="28" w:type="dxa"/>
          <w:bottom w:w="28" w:type="dxa"/>
          <w:right w:w="28" w:type="dxa"/>
        </w:tblCellMar>
      </w:tblPr>
      <w:tblGrid>
        <w:gridCol w:w="5746"/>
        <w:gridCol w:w="146"/>
        <w:gridCol w:w="146"/>
        <w:gridCol w:w="1036"/>
        <w:gridCol w:w="146"/>
        <w:gridCol w:w="146"/>
        <w:gridCol w:w="146"/>
        <w:gridCol w:w="1036"/>
        <w:gridCol w:w="391"/>
      </w:tblGrid>
      <w:tr>
        <w:trPr/>
        <w:tc>
          <w:tcPr>
            <w:tcW w:w="5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7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7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7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options to purchase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6,050,938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5,118,979</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57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restricted stock units of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423,621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85,639</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57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Available for future issuance under the 2020 Incentive Award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6,403,548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4,806,916</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57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Available for issuance under the 2020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1,089,728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499,722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7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13,967,835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10,511,256</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11.</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Stock-based compensation </w:t>
      </w:r>
    </w:p>
    <w:p>
      <w:pPr>
        <w:pStyle w:val="TextBody"/>
        <w:spacing w:lineRule="auto" w:line="273" w:before="120" w:after="0"/>
        <w:jc w:val="left"/>
        <w:rPr>
          <w:rFonts w:ascii="Times New Roman" w:hAnsi="Times New Roman"/>
          <w:b/>
          <w:i/>
          <w:sz w:val="20"/>
        </w:rPr>
      </w:pPr>
      <w:r>
        <w:rPr>
          <w:rFonts w:ascii="Times New Roman" w:hAnsi="Times New Roman"/>
          <w:b/>
          <w:i/>
          <w:sz w:val="20"/>
        </w:rPr>
        <w:t>2020 Incentive Award Plan</w:t>
      </w:r>
    </w:p>
    <w:p>
      <w:pPr>
        <w:pStyle w:val="TextBody"/>
        <w:spacing w:lineRule="auto" w:line="254" w:before="120" w:after="0"/>
        <w:jc w:val="left"/>
        <w:rPr>
          <w:rFonts w:ascii="Times New Roman" w:hAnsi="Times New Roman"/>
          <w:sz w:val="20"/>
        </w:rPr>
      </w:pPr>
      <w:r>
        <w:rPr>
          <w:rFonts w:ascii="Times New Roman" w:hAnsi="Times New Roman"/>
          <w:b w:val="false"/>
          <w:sz w:val="20"/>
        </w:rPr>
        <w:t>In February 2020, the Company adopted the 2020 Equity Incentive Plan (2020 Plan). The 2020 Plan became effective on February 11, 2020. The 2020 Plan provides for a variety of stock-based compensation awards, including stock options, stock appreciation rights, restricted stock awards, restricted stock unit awards, performance bonus awards, performance stock unit awards, dividend equivalents, or other stock or cash based awards. Under the 2020 Plan, the Company generally grants stock-based awards with service-based vesting conditions only. Options and restricted stock unit awards granted typically vest over a four-year</w:t>
      </w:r>
      <w:r>
        <w:rPr>
          <w:rFonts w:ascii="Times New Roman" w:hAnsi="Times New Roman"/>
          <w:sz w:val="20"/>
        </w:rPr>
        <w:t xml:space="preserve"> </w:t>
      </w:r>
      <w:r>
        <w:rPr>
          <w:rFonts w:ascii="Times New Roman" w:hAnsi="Times New Roman"/>
          <w:b w:val="false"/>
          <w:sz w:val="20"/>
        </w:rPr>
        <w:t>period, but may be granted with different vesting terms.</w:t>
      </w:r>
    </w:p>
    <w:p>
      <w:pPr>
        <w:pStyle w:val="TextBody"/>
        <w:spacing w:lineRule="auto" w:line="254" w:before="240" w:after="0"/>
        <w:jc w:val="left"/>
        <w:rPr>
          <w:rFonts w:ascii="Times New Roman" w:hAnsi="Times New Roman"/>
          <w:b w:val="false"/>
          <w:sz w:val="20"/>
        </w:rPr>
      </w:pPr>
      <w:r>
        <w:rPr>
          <w:rFonts w:ascii="Times New Roman" w:hAnsi="Times New Roman"/>
          <w:b w:val="false"/>
          <w:sz w:val="20"/>
        </w:rPr>
        <w:t>Following the effectiveness of the 2020 Plan, the Company will not make any further grants under the 2014 Equity Incentive Plan (2014 Plan). However, the 2014 Plan will continue to govern the terms and conditions of the outstanding awards granted under it. Shares of common stock subject to awards granted under the 2014 Plan that are forfeited or lapse unexercised and which following the effective date of the 2020 Plan are not issued under the 2014 Plan will be available for issuance under the 2020 Plan.</w:t>
      </w:r>
    </w:p>
    <w:p>
      <w:pPr>
        <w:pStyle w:val="TextBody"/>
        <w:spacing w:lineRule="auto" w:line="254" w:before="240" w:after="0"/>
        <w:jc w:val="left"/>
        <w:rPr>
          <w:rFonts w:ascii="Times New Roman" w:hAnsi="Times New Roman"/>
          <w:sz w:val="20"/>
        </w:rPr>
      </w:pPr>
      <w:r>
        <w:rPr>
          <w:rFonts w:ascii="Times New Roman" w:hAnsi="Times New Roman"/>
          <w:b w:val="false"/>
          <w:sz w:val="20"/>
        </w:rPr>
        <w:t>As of December 31, 2021, there were 6,403,548</w:t>
      </w:r>
      <w:r>
        <w:rPr>
          <w:rFonts w:ascii="Times New Roman" w:hAnsi="Times New Roman"/>
          <w:sz w:val="20"/>
        </w:rPr>
        <w:t xml:space="preserve"> </w:t>
      </w:r>
      <w:r>
        <w:rPr>
          <w:rFonts w:ascii="Times New Roman" w:hAnsi="Times New Roman"/>
          <w:b w:val="false"/>
          <w:sz w:val="20"/>
        </w:rPr>
        <w:t>shares of common stock reserved for issuance pursuant to the 2020 Plan.</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2014 Equity Incentive Plan</w:t>
      </w:r>
    </w:p>
    <w:p>
      <w:pPr>
        <w:pStyle w:val="TextBody"/>
        <w:spacing w:lineRule="auto" w:line="254" w:before="120" w:after="0"/>
        <w:jc w:val="left"/>
        <w:rPr>
          <w:rFonts w:ascii="Times New Roman" w:hAnsi="Times New Roman"/>
          <w:sz w:val="20"/>
        </w:rPr>
      </w:pPr>
      <w:r>
        <w:rPr>
          <w:rFonts w:ascii="Times New Roman" w:hAnsi="Times New Roman"/>
          <w:b w:val="false"/>
          <w:sz w:val="20"/>
        </w:rPr>
        <w:t>In December 2014, the Company adopted the 2014 Plan, which provided for the Company to issue restricted common stock, or to grant incentive stock options or nonqualified stock options for the purchase of common stock, to employees, members of the Board of Directors and consultants of the Company under terms and provisions established by the Board of Directors. The Company generally granted stock-based awards with service-based vesting conditions only. Options granted typically vest over a four-year</w:t>
      </w:r>
      <w:r>
        <w:rPr>
          <w:rFonts w:ascii="Times New Roman" w:hAnsi="Times New Roman"/>
          <w:sz w:val="20"/>
        </w:rPr>
        <w:t xml:space="preserve"> </w:t>
      </w:r>
      <w:r>
        <w:rPr>
          <w:rFonts w:ascii="Times New Roman" w:hAnsi="Times New Roman"/>
          <w:b w:val="false"/>
          <w:sz w:val="20"/>
        </w:rPr>
        <w:t>period but may be granted with different vesting terms.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allows its employees, non-employees and directors to exercise options granted under the 2014 Plan prior to vesting. The shares related to early exercised stock options are subject to the Company’s lapsing repurchase right upon termination of employment at the original purchase price. In order to vest, the holders are required to provide continued service to the Company. The proceeds are initially recorded in other noncurrent liabilities and are reclassified to common stock and additional paid-in capital as the repurchase right lapses. As of December 31, 2021 and 2020, there were 30,378</w:t>
      </w:r>
      <w:r>
        <w:rPr>
          <w:rFonts w:ascii="Times New Roman" w:hAnsi="Times New Roman"/>
          <w:sz w:val="20"/>
        </w:rPr>
        <w:t xml:space="preserve"> </w:t>
      </w:r>
      <w:r>
        <w:rPr>
          <w:rFonts w:ascii="Times New Roman" w:hAnsi="Times New Roman"/>
          <w:b w:val="false"/>
          <w:sz w:val="20"/>
        </w:rPr>
        <w:t>and 130,793</w:t>
      </w:r>
      <w:r>
        <w:rPr>
          <w:rFonts w:ascii="Times New Roman" w:hAnsi="Times New Roman"/>
          <w:sz w:val="20"/>
        </w:rPr>
        <w:t xml:space="preserve"> </w:t>
      </w:r>
      <w:r>
        <w:rPr>
          <w:rFonts w:ascii="Times New Roman" w:hAnsi="Times New Roman"/>
          <w:b w:val="false"/>
          <w:sz w:val="20"/>
        </w:rPr>
        <w:t>shares, respectively, and $0.1</w:t>
      </w:r>
      <w:r>
        <w:rPr>
          <w:rFonts w:ascii="Times New Roman" w:hAnsi="Times New Roman"/>
          <w:sz w:val="20"/>
        </w:rPr>
        <w:t xml:space="preserve"> </w:t>
      </w:r>
      <w:r>
        <w:rPr>
          <w:rFonts w:ascii="Times New Roman" w:hAnsi="Times New Roman"/>
          <w:b w:val="false"/>
          <w:sz w:val="20"/>
        </w:rPr>
        <w:t>million and $0.2</w:t>
      </w:r>
      <w:r>
        <w:rPr>
          <w:rFonts w:ascii="Times New Roman" w:hAnsi="Times New Roman"/>
          <w:sz w:val="20"/>
        </w:rPr>
        <w:t xml:space="preserve"> </w:t>
      </w:r>
      <w:r>
        <w:rPr>
          <w:rFonts w:ascii="Times New Roman" w:hAnsi="Times New Roman"/>
          <w:b w:val="false"/>
          <w:sz w:val="20"/>
        </w:rPr>
        <w:t>million, respectively, recorded in other noncurrent liabilities, related to early exercised shares that were subject to repurchase.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i/>
          <w:sz w:val="20"/>
        </w:rPr>
      </w:pPr>
      <w:r>
        <w:rPr>
          <w:rFonts w:ascii="Times New Roman" w:hAnsi="Times New Roman"/>
          <w:b/>
          <w:i/>
          <w:sz w:val="20"/>
        </w:rPr>
        <w:t>2020 Employee Stock Purchase Plan</w:t>
      </w:r>
    </w:p>
    <w:p>
      <w:pPr>
        <w:pStyle w:val="TextBody"/>
        <w:spacing w:lineRule="auto" w:line="247" w:before="120" w:after="0"/>
        <w:jc w:val="left"/>
        <w:rPr>
          <w:rFonts w:ascii="Times New Roman" w:hAnsi="Times New Roman"/>
          <w:sz w:val="20"/>
        </w:rPr>
      </w:pPr>
      <w:r>
        <w:rPr>
          <w:rFonts w:ascii="Times New Roman" w:hAnsi="Times New Roman"/>
          <w:b w:val="false"/>
          <w:sz w:val="20"/>
        </w:rPr>
        <w:t>In February 2020, the Company adopted the 2020 Employee Stock Purchase Plan (ESPP). Under the ESPP, employees have the ability to purchase shares of the Company’s common stock through payroll deductions at a discount during a series of offering periods of 24 months, each comprised of four six-month purchase periods. The purchase price will be the lower of 85% of the closing trading price per share of the Company’s common stock on the first day of an offering period in which an employee is enrolled or 85% of the closing trading price per share on the purchase date, which will occur on the last trading day of each purchase period.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As of December 31, 2021, there have been 105,228</w:t>
      </w:r>
      <w:r>
        <w:rPr>
          <w:rFonts w:ascii="Times New Roman" w:hAnsi="Times New Roman"/>
          <w:sz w:val="20"/>
        </w:rPr>
        <w:t xml:space="preserve"> </w:t>
      </w:r>
      <w:r>
        <w:rPr>
          <w:rFonts w:ascii="Times New Roman" w:hAnsi="Times New Roman"/>
          <w:b w:val="false"/>
          <w:sz w:val="20"/>
        </w:rPr>
        <w:t>shares of common stock purchased under the ESPP. As of December 31, 2021, a total of 1,089,728</w:t>
      </w:r>
      <w:r>
        <w:rPr>
          <w:rFonts w:ascii="Times New Roman" w:hAnsi="Times New Roman"/>
          <w:sz w:val="20"/>
        </w:rPr>
        <w:t xml:space="preserve"> </w:t>
      </w:r>
      <w:r>
        <w:rPr>
          <w:rFonts w:ascii="Times New Roman" w:hAnsi="Times New Roman"/>
          <w:b w:val="false"/>
          <w:sz w:val="20"/>
        </w:rPr>
        <w:t>shares of common stock were available for future issuance under the ESPP. As of December 31, 2021, there was $1.9</w:t>
      </w:r>
      <w:r>
        <w:rPr>
          <w:rFonts w:ascii="Times New Roman" w:hAnsi="Times New Roman"/>
          <w:sz w:val="20"/>
        </w:rPr>
        <w:t xml:space="preserve"> </w:t>
      </w:r>
      <w:r>
        <w:rPr>
          <w:rFonts w:ascii="Times New Roman" w:hAnsi="Times New Roman"/>
          <w:b w:val="false"/>
          <w:sz w:val="20"/>
        </w:rPr>
        <w:t>million of unrecognized compensation cost related to the ESPP.</w:t>
      </w:r>
    </w:p>
    <w:p>
      <w:pPr>
        <w:pStyle w:val="TextBody"/>
        <w:spacing w:lineRule="auto" w:line="273" w:before="360" w:after="0"/>
        <w:jc w:val="left"/>
        <w:rPr>
          <w:rFonts w:ascii="Times New Roman" w:hAnsi="Times New Roman"/>
          <w:b/>
          <w:i/>
          <w:sz w:val="20"/>
        </w:rPr>
      </w:pPr>
      <w:r>
        <w:rPr>
          <w:rFonts w:ascii="Times New Roman" w:hAnsi="Times New Roman"/>
          <w:b/>
          <w:i/>
          <w:sz w:val="20"/>
        </w:rPr>
        <w:t>Stock options</w:t>
      </w:r>
    </w:p>
    <w:p>
      <w:pPr>
        <w:pStyle w:val="TextBody"/>
        <w:spacing w:lineRule="auto" w:line="273" w:before="120" w:after="0"/>
        <w:jc w:val="left"/>
        <w:rPr>
          <w:rFonts w:ascii="Times New Roman" w:hAnsi="Times New Roman"/>
          <w:sz w:val="20"/>
        </w:rPr>
      </w:pPr>
      <w:r>
        <w:rPr>
          <w:rFonts w:ascii="Times New Roman" w:hAnsi="Times New Roman"/>
          <w:b w:val="false"/>
          <w:sz w:val="20"/>
        </w:rPr>
        <w:t>The following summarizes option activity under both the 2020 Plan and the 2014 Plan:</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4587"/>
        <w:gridCol w:w="146"/>
        <w:gridCol w:w="146"/>
        <w:gridCol w:w="931"/>
        <w:gridCol w:w="166"/>
        <w:gridCol w:w="146"/>
        <w:gridCol w:w="282"/>
        <w:gridCol w:w="769"/>
        <w:gridCol w:w="146"/>
        <w:gridCol w:w="146"/>
        <w:gridCol w:w="225"/>
        <w:gridCol w:w="721"/>
        <w:gridCol w:w="146"/>
        <w:gridCol w:w="146"/>
        <w:gridCol w:w="235"/>
        <w:gridCol w:w="873"/>
        <w:gridCol w:w="394"/>
      </w:tblGrid>
      <w:tr>
        <w:trPr/>
        <w:tc>
          <w:tcPr>
            <w:tcW w:w="45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458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w:t>
              <w:b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remaining</w:t>
              <w:br/>
              <w:t>contractual</w:t>
              <w:br/>
              <w:t>term</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Aggregate</w:t>
              <w:br/>
              <w:t>intrinsic</w:t>
              <w:br/>
              <w:t>value</w:t>
            </w:r>
          </w:p>
        </w:tc>
        <w:tc>
          <w:tcPr>
            <w:tcW w:w="3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58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7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51"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years)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08"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94" w:type="dxa"/>
            <w:tcBorders/>
            <w:shd w:fill="auto" w:val="clear"/>
            <w:vAlign w:val="center"/>
          </w:tcPr>
          <w:p>
            <w:pPr>
              <w:pStyle w:val="TableContents"/>
              <w:spacing w:lineRule="auto" w:line="252" w:before="0" w:after="0"/>
              <w:ind w:left="0" w:right="0" w:hanging="0"/>
              <w:jc w:val="center"/>
              <w:rPr/>
            </w:pPr>
            <w:r>
              <w:rPr/>
              <w:t> </w:t>
            </w:r>
          </w:p>
        </w:tc>
      </w:tr>
      <w:tr>
        <w:trPr/>
        <w:tc>
          <w:tcPr>
            <w:tcW w:w="458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5,118,979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165,088</w:t>
            </w:r>
          </w:p>
        </w:tc>
        <w:tc>
          <w:tcPr>
            <w:tcW w:w="394" w:type="dxa"/>
            <w:tcBorders/>
            <w:shd w:fill="auto" w:val="clear"/>
            <w:vAlign w:val="center"/>
          </w:tcPr>
          <w:p>
            <w:pPr>
              <w:pStyle w:val="TableContents"/>
              <w:spacing w:lineRule="auto" w:line="252" w:before="0" w:after="0"/>
              <w:ind w:left="0" w:right="0" w:firstLine="200"/>
              <w:jc w:val="left"/>
              <w:rPr/>
            </w:pPr>
            <w:r>
              <w:rPr/>
              <w:t> </w:t>
            </w:r>
          </w:p>
        </w:tc>
      </w:tr>
      <w:tr>
        <w:trPr/>
        <w:tc>
          <w:tcPr>
            <w:tcW w:w="4587"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Options 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1,560,806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pPr>
            <w:r>
              <w:rPr/>
              <w:t> </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8" w:type="dxa"/>
            <w:gridSpan w:val="2"/>
            <w:tcBorders/>
            <w:shd w:fill="auto" w:val="clear"/>
            <w:vAlign w:val="center"/>
          </w:tcPr>
          <w:p>
            <w:pPr>
              <w:pStyle w:val="TableContents"/>
              <w:spacing w:lineRule="auto" w:line="252" w:before="0" w:after="0"/>
              <w:ind w:left="0" w:right="0" w:hanging="0"/>
              <w:jc w:val="right"/>
              <w:rPr/>
            </w:pPr>
            <w:r>
              <w:rPr/>
              <w:t> </w:t>
            </w:r>
          </w:p>
        </w:tc>
        <w:tc>
          <w:tcPr>
            <w:tcW w:w="394" w:type="dxa"/>
            <w:tcBorders/>
            <w:shd w:fill="auto" w:val="clear"/>
            <w:vAlign w:val="center"/>
          </w:tcPr>
          <w:p>
            <w:pPr>
              <w:pStyle w:val="TableContents"/>
              <w:spacing w:lineRule="auto" w:line="252" w:before="0" w:after="0"/>
              <w:ind w:left="0" w:right="0" w:firstLine="200"/>
              <w:jc w:val="right"/>
              <w:rPr/>
            </w:pPr>
            <w:r>
              <w:rPr/>
              <w:t> </w:t>
            </w:r>
          </w:p>
        </w:tc>
      </w:tr>
      <w:tr>
        <w:trPr/>
        <w:tc>
          <w:tcPr>
            <w:tcW w:w="4587"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Options 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(388,695</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pPr>
            <w:r>
              <w:rPr/>
              <w:t> </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8" w:type="dxa"/>
            <w:gridSpan w:val="2"/>
            <w:tcBorders/>
            <w:shd w:fill="auto" w:val="clear"/>
            <w:vAlign w:val="center"/>
          </w:tcPr>
          <w:p>
            <w:pPr>
              <w:pStyle w:val="TableContents"/>
              <w:spacing w:lineRule="auto" w:line="252" w:before="0" w:after="0"/>
              <w:ind w:left="0" w:right="0" w:hanging="0"/>
              <w:jc w:val="right"/>
              <w:rPr/>
            </w:pPr>
            <w:r>
              <w:rPr/>
              <w:t> </w:t>
            </w:r>
          </w:p>
        </w:tc>
        <w:tc>
          <w:tcPr>
            <w:tcW w:w="394" w:type="dxa"/>
            <w:tcBorders/>
            <w:shd w:fill="auto" w:val="clear"/>
            <w:vAlign w:val="center"/>
          </w:tcPr>
          <w:p>
            <w:pPr>
              <w:pStyle w:val="TableContents"/>
              <w:spacing w:lineRule="auto" w:line="252" w:before="0" w:after="0"/>
              <w:ind w:left="0" w:right="0" w:firstLine="200"/>
              <w:jc w:val="right"/>
              <w:rPr/>
            </w:pPr>
            <w:r>
              <w:rPr/>
              <w:t> </w:t>
            </w:r>
          </w:p>
        </w:tc>
      </w:tr>
      <w:tr>
        <w:trPr/>
        <w:tc>
          <w:tcPr>
            <w:tcW w:w="4587"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Options cancelled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(240,152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pPr>
            <w:r>
              <w:rPr/>
              <w:t> </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22.73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8" w:type="dxa"/>
            <w:gridSpan w:val="2"/>
            <w:tcBorders/>
            <w:shd w:fill="auto" w:val="clear"/>
            <w:vAlign w:val="center"/>
          </w:tcPr>
          <w:p>
            <w:pPr>
              <w:pStyle w:val="TableContents"/>
              <w:spacing w:lineRule="auto" w:line="252" w:before="0" w:after="0"/>
              <w:ind w:left="0" w:right="0" w:hanging="0"/>
              <w:jc w:val="right"/>
              <w:rPr/>
            </w:pPr>
            <w:r>
              <w:rPr/>
              <w:t> </w:t>
            </w:r>
          </w:p>
        </w:tc>
        <w:tc>
          <w:tcPr>
            <w:tcW w:w="394" w:type="dxa"/>
            <w:tcBorders/>
            <w:shd w:fill="auto" w:val="clear"/>
            <w:vAlign w:val="center"/>
          </w:tcPr>
          <w:p>
            <w:pPr>
              <w:pStyle w:val="TableContents"/>
              <w:spacing w:lineRule="auto" w:line="252" w:before="0" w:after="0"/>
              <w:ind w:left="0" w:right="0" w:hanging="0"/>
              <w:jc w:val="right"/>
              <w:rPr/>
            </w:pPr>
            <w:r>
              <w:rPr/>
              <w:t> </w:t>
            </w:r>
          </w:p>
        </w:tc>
      </w:tr>
      <w:tr>
        <w:trPr/>
        <w:tc>
          <w:tcPr>
            <w:tcW w:w="458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6,050,938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83,953</w:t>
            </w:r>
          </w:p>
        </w:tc>
        <w:tc>
          <w:tcPr>
            <w:tcW w:w="394" w:type="dxa"/>
            <w:tcBorders/>
            <w:shd w:fill="auto" w:val="clear"/>
            <w:vAlign w:val="center"/>
          </w:tcPr>
          <w:p>
            <w:pPr>
              <w:pStyle w:val="TableContents"/>
              <w:spacing w:lineRule="auto" w:line="252" w:before="0" w:after="0"/>
              <w:ind w:left="0" w:right="0" w:hanging="0"/>
              <w:jc w:val="left"/>
              <w:rPr/>
            </w:pPr>
            <w:r>
              <w:rPr/>
              <w:t> </w:t>
            </w:r>
          </w:p>
        </w:tc>
      </w:tr>
      <w:tr>
        <w:trPr/>
        <w:tc>
          <w:tcPr>
            <w:tcW w:w="458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vested and expected to vest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6,050,938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83,953</w:t>
            </w:r>
          </w:p>
        </w:tc>
        <w:tc>
          <w:tcPr>
            <w:tcW w:w="394" w:type="dxa"/>
            <w:tcBorders/>
            <w:shd w:fill="auto" w:val="clear"/>
            <w:vAlign w:val="center"/>
          </w:tcPr>
          <w:p>
            <w:pPr>
              <w:pStyle w:val="TableContents"/>
              <w:spacing w:lineRule="auto" w:line="252" w:before="0" w:after="0"/>
              <w:ind w:left="0" w:right="0" w:hanging="0"/>
              <w:jc w:val="left"/>
              <w:rPr/>
            </w:pPr>
            <w:r>
              <w:rPr/>
              <w:t> </w:t>
            </w:r>
          </w:p>
        </w:tc>
      </w:tr>
      <w:tr>
        <w:trPr/>
        <w:tc>
          <w:tcPr>
            <w:tcW w:w="458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vested and exercisable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3,064,268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6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56,750</w:t>
            </w:r>
          </w:p>
        </w:tc>
        <w:tc>
          <w:tcPr>
            <w:tcW w:w="394"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 aggregate intrinsic values of options outstanding, exercisable, vested and expected to vest were calculated as the difference between the exercise price of the options and the estimated fair value of the Company’s common stock by the Board of Directors. The intrinsic value of the options exercised for the years December 31, 2021, 2020 and 2019</w:t>
      </w:r>
      <w:r>
        <w:rPr>
          <w:rFonts w:ascii="Times New Roman" w:hAnsi="Times New Roman"/>
          <w:sz w:val="20"/>
        </w:rPr>
        <w:t xml:space="preserve"> </w:t>
      </w:r>
      <w:r>
        <w:rPr>
          <w:rFonts w:ascii="Times New Roman" w:hAnsi="Times New Roman"/>
          <w:b w:val="false"/>
          <w:sz w:val="20"/>
        </w:rPr>
        <w:t>was $13.1</w:t>
      </w:r>
      <w:r>
        <w:rPr>
          <w:rFonts w:ascii="Times New Roman" w:hAnsi="Times New Roman"/>
          <w:sz w:val="20"/>
        </w:rPr>
        <w:t xml:space="preserve"> </w:t>
      </w:r>
      <w:r>
        <w:rPr>
          <w:rFonts w:ascii="Times New Roman" w:hAnsi="Times New Roman"/>
          <w:b w:val="false"/>
          <w:sz w:val="20"/>
        </w:rPr>
        <w:t>million, $21.7</w:t>
      </w:r>
      <w:r>
        <w:rPr>
          <w:rFonts w:ascii="Times New Roman" w:hAnsi="Times New Roman"/>
          <w:sz w:val="20"/>
        </w:rPr>
        <w:t xml:space="preserve"> </w:t>
      </w:r>
      <w:r>
        <w:rPr>
          <w:rFonts w:ascii="Times New Roman" w:hAnsi="Times New Roman"/>
          <w:b w:val="false"/>
          <w:sz w:val="20"/>
        </w:rPr>
        <w:t>million and $0.4</w:t>
      </w:r>
      <w:r>
        <w:rPr>
          <w:rFonts w:ascii="Times New Roman" w:hAnsi="Times New Roman"/>
          <w:sz w:val="20"/>
        </w:rPr>
        <w:t xml:space="preserve"> </w:t>
      </w:r>
      <w:r>
        <w:rPr>
          <w:rFonts w:ascii="Times New Roman" w:hAnsi="Times New Roman"/>
          <w:b w:val="false"/>
          <w:sz w:val="20"/>
        </w:rPr>
        <w:t>million, respectively.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During the years ended December 31, 2021, 2020 and 2019, the weighted-average grant-date fair value of options granted was $25.13, $15.59</w:t>
      </w:r>
      <w:r>
        <w:rPr>
          <w:rFonts w:ascii="Times New Roman" w:hAnsi="Times New Roman"/>
          <w:sz w:val="20"/>
        </w:rPr>
        <w:t xml:space="preserve"> </w:t>
      </w:r>
      <w:r>
        <w:rPr>
          <w:rFonts w:ascii="Times New Roman" w:hAnsi="Times New Roman"/>
          <w:b w:val="false"/>
          <w:sz w:val="20"/>
        </w:rPr>
        <w:t>and $4.43</w:t>
      </w:r>
      <w:r>
        <w:rPr>
          <w:rFonts w:ascii="Times New Roman" w:hAnsi="Times New Roman"/>
          <w:sz w:val="20"/>
        </w:rPr>
        <w:t xml:space="preserve"> </w:t>
      </w:r>
      <w:r>
        <w:rPr>
          <w:rFonts w:ascii="Times New Roman" w:hAnsi="Times New Roman"/>
          <w:b w:val="false"/>
          <w:sz w:val="20"/>
        </w:rPr>
        <w:t>per share, respectively. As of December 31, 2021, there was $41.4</w:t>
      </w:r>
      <w:r>
        <w:rPr>
          <w:rFonts w:ascii="Times New Roman" w:hAnsi="Times New Roman"/>
          <w:sz w:val="20"/>
        </w:rPr>
        <w:t xml:space="preserve"> </w:t>
      </w:r>
      <w:r>
        <w:rPr>
          <w:rFonts w:ascii="Times New Roman" w:hAnsi="Times New Roman"/>
          <w:b w:val="false"/>
          <w:sz w:val="20"/>
        </w:rPr>
        <w:t>million of unrecognized stock-based compensation expense related to unvested stock options that is expected to be recognized over a weighted-average period of 2.3</w:t>
      </w:r>
      <w:r>
        <w:rPr>
          <w:rFonts w:ascii="Times New Roman" w:hAnsi="Times New Roman"/>
          <w:sz w:val="20"/>
        </w:rPr>
        <w:t xml:space="preserve"> </w:t>
      </w:r>
      <w:r>
        <w:rPr>
          <w:rFonts w:ascii="Times New Roman" w:hAnsi="Times New Roman"/>
          <w:b w:val="false"/>
          <w:sz w:val="20"/>
        </w:rPr>
        <w:t>years.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val="false"/>
          <w:sz w:val="20"/>
        </w:rPr>
        <w:t>The fair value of employee and director stock option awards was estimated at the date of grant using a Black-Scholes option-pricing model with the following assumptions:</w:t>
      </w:r>
      <w:r>
        <w:rPr>
          <w:rFonts w:ascii="Times New Roman" w:hAnsi="Times New Roman"/>
          <w:sz w:val="20"/>
        </w:rPr>
        <w:t xml:space="preserve"> </w:t>
      </w:r>
    </w:p>
    <w:p>
      <w:pPr>
        <w:pStyle w:val="TextBody"/>
        <w:spacing w:lineRule="auto" w:line="273" w:before="0" w:after="0"/>
        <w:jc w:val="left"/>
        <w:rPr/>
      </w:pPr>
      <w:r>
        <w:rPr/>
        <w:t> </w:t>
      </w:r>
    </w:p>
    <w:tbl>
      <w:tblPr>
        <w:tblW w:w="5377" w:type="dxa"/>
        <w:jc w:val="left"/>
        <w:tblInd w:w="0" w:type="dxa"/>
        <w:tblCellMar>
          <w:top w:w="28" w:type="dxa"/>
          <w:left w:w="28" w:type="dxa"/>
          <w:bottom w:w="28" w:type="dxa"/>
          <w:right w:w="28" w:type="dxa"/>
        </w:tblCellMar>
      </w:tblPr>
      <w:tblGrid>
        <w:gridCol w:w="1876"/>
        <w:gridCol w:w="146"/>
        <w:gridCol w:w="1006"/>
        <w:gridCol w:w="146"/>
        <w:gridCol w:w="1006"/>
        <w:gridCol w:w="146"/>
        <w:gridCol w:w="1051"/>
      </w:tblGrid>
      <w:tr>
        <w:trPr/>
        <w:tc>
          <w:tcPr>
            <w:tcW w:w="18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18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r>
      <w:tr>
        <w:trPr/>
        <w:tc>
          <w:tcPr>
            <w:tcW w:w="18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r>
      <w:tr>
        <w:trPr/>
        <w:tc>
          <w:tcPr>
            <w:tcW w:w="18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5-6</w:t>
            </w:r>
          </w:p>
        </w:tc>
      </w:tr>
      <w:tr>
        <w:trPr/>
        <w:tc>
          <w:tcPr>
            <w:tcW w:w="18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70-75%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74-80%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76-82%</w:t>
            </w:r>
          </w:p>
        </w:tc>
      </w:tr>
      <w:tr>
        <w:trPr/>
        <w:tc>
          <w:tcPr>
            <w:tcW w:w="18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0.5%-1.3%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0.2%-1.5%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1.6%-2.5%</w:t>
            </w:r>
          </w:p>
        </w:tc>
      </w:tr>
      <w:tr>
        <w:trPr/>
        <w:tc>
          <w:tcPr>
            <w:tcW w:w="18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Consultant stock option awards were measured at fair value at each reporting period using a Black-Scholes option-pricing model with the following assumptions:</w:t>
      </w:r>
      <w:r>
        <w:rPr>
          <w:rFonts w:ascii="Times New Roman" w:hAnsi="Times New Roman"/>
          <w:sz w:val="20"/>
        </w:rPr>
        <w:t xml:space="preserve"> </w:t>
      </w:r>
    </w:p>
    <w:p>
      <w:pPr>
        <w:pStyle w:val="TextBody"/>
        <w:spacing w:lineRule="auto" w:line="273" w:before="0" w:after="0"/>
        <w:jc w:val="left"/>
        <w:rPr/>
      </w:pPr>
      <w:r>
        <w:rPr/>
        <w:t> </w:t>
      </w:r>
    </w:p>
    <w:tbl>
      <w:tblPr>
        <w:tblW w:w="5377" w:type="dxa"/>
        <w:jc w:val="left"/>
        <w:tblInd w:w="0" w:type="dxa"/>
        <w:tblCellMar>
          <w:top w:w="28" w:type="dxa"/>
          <w:left w:w="28" w:type="dxa"/>
          <w:bottom w:w="28" w:type="dxa"/>
          <w:right w:w="28" w:type="dxa"/>
        </w:tblCellMar>
      </w:tblPr>
      <w:tblGrid>
        <w:gridCol w:w="1876"/>
        <w:gridCol w:w="146"/>
        <w:gridCol w:w="1006"/>
        <w:gridCol w:w="146"/>
        <w:gridCol w:w="1006"/>
        <w:gridCol w:w="146"/>
        <w:gridCol w:w="1051"/>
      </w:tblGrid>
      <w:tr>
        <w:trPr/>
        <w:tc>
          <w:tcPr>
            <w:tcW w:w="18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187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55"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r>
      <w:tr>
        <w:trPr/>
        <w:tc>
          <w:tcPr>
            <w:tcW w:w="187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r>
      <w:tr>
        <w:trPr/>
        <w:tc>
          <w:tcPr>
            <w:tcW w:w="18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6-10</w:t>
            </w:r>
          </w:p>
        </w:tc>
      </w:tr>
      <w:tr>
        <w:trPr/>
        <w:tc>
          <w:tcPr>
            <w:tcW w:w="18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70-75%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74-80%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79-83%</w:t>
            </w:r>
          </w:p>
        </w:tc>
      </w:tr>
      <w:tr>
        <w:trPr/>
        <w:tc>
          <w:tcPr>
            <w:tcW w:w="18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0.9%-1.3%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1.2%-1.5%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1.6%-2.6%</w:t>
            </w:r>
          </w:p>
        </w:tc>
      </w:tr>
      <w:tr>
        <w:trPr/>
        <w:tc>
          <w:tcPr>
            <w:tcW w:w="18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0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 Black-Scholes model assumptions that determine the fair value of stock-based awards include: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Expected term</w:t>
      </w:r>
      <w:r>
        <w:rPr>
          <w:rFonts w:ascii="Times New Roman" w:hAnsi="Times New Roman"/>
          <w:sz w:val="20"/>
        </w:rPr>
        <w:t>—</w:t>
      </w:r>
      <w:r>
        <w:rPr>
          <w:rFonts w:ascii="Times New Roman" w:hAnsi="Times New Roman"/>
          <w:b w:val="false"/>
          <w:sz w:val="20"/>
        </w:rPr>
        <w:t>The expected term is calculated using the simplified method,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w:t>
      </w:r>
    </w:p>
    <w:p>
      <w:pPr>
        <w:pStyle w:val="TextBody"/>
        <w:spacing w:lineRule="auto" w:line="273" w:before="240" w:after="0"/>
        <w:jc w:val="left"/>
        <w:rPr>
          <w:rFonts w:ascii="Times New Roman" w:hAnsi="Times New Roman"/>
          <w:sz w:val="20"/>
        </w:rPr>
      </w:pPr>
      <w:r>
        <w:rPr>
          <w:rFonts w:ascii="Times New Roman" w:hAnsi="Times New Roman"/>
          <w:b/>
          <w:i/>
          <w:sz w:val="20"/>
        </w:rPr>
        <w:t>Expected volatility</w:t>
      </w:r>
      <w:r>
        <w:rPr>
          <w:rFonts w:ascii="Times New Roman" w:hAnsi="Times New Roman"/>
          <w:sz w:val="20"/>
        </w:rPr>
        <w:t>—</w:t>
      </w:r>
      <w:r>
        <w:rPr>
          <w:rFonts w:ascii="Times New Roman" w:hAnsi="Times New Roman"/>
          <w:b w:val="false"/>
          <w:sz w:val="20"/>
        </w:rPr>
        <w:t>Given the Company does not have sufficient trading history for its common stock, the expected volatility was estimated based on the average volatility of the Company and comparable publicly traded biotechnology companies over a period equal to the expected term of the stock option grants. The comparable companies were chosen based on their similar size, stage in the life cycle or area of specialty.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Risk-free interest rate</w:t>
      </w:r>
      <w:r>
        <w:rPr>
          <w:rFonts w:ascii="Times New Roman" w:hAnsi="Times New Roman"/>
          <w:sz w:val="20"/>
        </w:rPr>
        <w:t>—</w:t>
      </w:r>
      <w:r>
        <w:rPr>
          <w:rFonts w:ascii="Times New Roman" w:hAnsi="Times New Roman"/>
          <w:b w:val="false"/>
          <w:sz w:val="20"/>
        </w:rPr>
        <w:t>The risk-free interest rate is based on the U.S. Treasury zero coupon issues in effect at the time of grant for periods corresponding with the expected term of option.</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Expected dividend</w:t>
      </w:r>
      <w:r>
        <w:rPr>
          <w:rFonts w:ascii="Times New Roman" w:hAnsi="Times New Roman"/>
          <w:sz w:val="20"/>
        </w:rPr>
        <w:t>—</w:t>
      </w:r>
      <w:r>
        <w:rPr>
          <w:rFonts w:ascii="Times New Roman" w:hAnsi="Times New Roman"/>
          <w:b w:val="false"/>
          <w:sz w:val="20"/>
        </w:rPr>
        <w:t>The Company has never paid dividends on its common stock and has no plans to pay dividends on its common stock. Therefore, the Company used an expected dividend yield of zero.</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r>
        <w:rPr>
          <w:rFonts w:ascii="Times New Roman" w:hAnsi="Times New Roman"/>
          <w:b/>
          <w:i/>
          <w:sz w:val="20"/>
        </w:rPr>
        <w:t>Restricted stock units</w:t>
      </w:r>
      <w:r>
        <w:rPr>
          <w:rFonts w:ascii="Times New Roman" w:hAnsi="Times New Roman"/>
          <w:sz w:val="20"/>
        </w:rPr>
        <w:t xml:space="preserve"> </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Restricted stock units (RSUs) have been granted to employees and directors. The fair value of an RSU award is based on the Company’s stock price on the date of grant. The shares underlying the RSU awards are not issued until the RSUs vest. Upon vesting, each RSU converts into one share of the Company’s common stock. The Company has granted RSUs pursuant to the 2020 plan.</w:t>
      </w:r>
    </w:p>
    <w:p>
      <w:pPr>
        <w:pStyle w:val="TextBody"/>
        <w:spacing w:lineRule="auto" w:line="247" w:before="240" w:after="0"/>
        <w:jc w:val="left"/>
        <w:rPr>
          <w:rFonts w:ascii="Times New Roman" w:hAnsi="Times New Roman"/>
          <w:b w:val="false"/>
          <w:sz w:val="20"/>
        </w:rPr>
      </w:pPr>
      <w:r>
        <w:rPr>
          <w:rFonts w:ascii="Times New Roman" w:hAnsi="Times New Roman"/>
          <w:b w:val="false"/>
          <w:sz w:val="20"/>
        </w:rPr>
        <w:t>Activity under the 2020 Plan with respect to the Company’s RSUs during the year ended December 31, 2021 was as follows:</w:t>
      </w:r>
    </w:p>
    <w:p>
      <w:pPr>
        <w:pStyle w:val="TextBody"/>
        <w:spacing w:lineRule="auto" w:line="247" w:before="0" w:after="0"/>
        <w:jc w:val="left"/>
        <w:rPr/>
      </w:pPr>
      <w:r>
        <w:rPr/>
        <w:t> </w:t>
      </w:r>
    </w:p>
    <w:tbl>
      <w:tblPr>
        <w:tblW w:w="9202" w:type="dxa"/>
        <w:jc w:val="left"/>
        <w:tblInd w:w="0" w:type="dxa"/>
        <w:tblCellMar>
          <w:top w:w="28" w:type="dxa"/>
          <w:left w:w="28" w:type="dxa"/>
          <w:bottom w:w="28" w:type="dxa"/>
          <w:right w:w="28" w:type="dxa"/>
        </w:tblCellMar>
      </w:tblPr>
      <w:tblGrid>
        <w:gridCol w:w="3511"/>
        <w:gridCol w:w="146"/>
        <w:gridCol w:w="146"/>
        <w:gridCol w:w="781"/>
        <w:gridCol w:w="166"/>
        <w:gridCol w:w="146"/>
        <w:gridCol w:w="338"/>
        <w:gridCol w:w="922"/>
        <w:gridCol w:w="146"/>
        <w:gridCol w:w="146"/>
        <w:gridCol w:w="225"/>
        <w:gridCol w:w="721"/>
        <w:gridCol w:w="146"/>
        <w:gridCol w:w="146"/>
        <w:gridCol w:w="267"/>
        <w:gridCol w:w="858"/>
        <w:gridCol w:w="3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grant date fair</w:t>
              <w:br/>
              <w:t> value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remaining</w:t>
              <w:br/>
              <w:t>contractual</w:t>
              <w:br/>
              <w:t>term</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Aggregate</w:t>
              <w:br/>
              <w:t>intrinsic</w:t>
              <w:b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2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60"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years)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2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85,639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3,390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5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Restricted stock units 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444,547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8" w:type="dxa"/>
            <w:tcBorders/>
            <w:shd w:fill="auto" w:val="clear"/>
            <w:vAlign w:val="center"/>
          </w:tcPr>
          <w:p>
            <w:pPr>
              <w:pStyle w:val="TableContents"/>
              <w:spacing w:lineRule="auto" w:line="252" w:before="0" w:after="0"/>
              <w:ind w:left="0" w:right="0" w:hanging="0"/>
              <w:jc w:val="left"/>
              <w:rPr/>
            </w:pPr>
            <w:r>
              <w:rPr/>
              <w:t> </w:t>
            </w:r>
          </w:p>
        </w:tc>
        <w:tc>
          <w:tcPr>
            <w:tcW w:w="92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5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Restricted stock units 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(78,010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8" w:type="dxa"/>
            <w:tcBorders/>
            <w:shd w:fill="auto" w:val="clear"/>
            <w:vAlign w:val="center"/>
          </w:tcPr>
          <w:p>
            <w:pPr>
              <w:pStyle w:val="TableContents"/>
              <w:spacing w:lineRule="auto" w:line="252" w:before="0" w:after="0"/>
              <w:ind w:left="0" w:right="0" w:hanging="0"/>
              <w:jc w:val="left"/>
              <w:rPr/>
            </w:pPr>
            <w:r>
              <w:rPr/>
              <w:t> </w:t>
            </w:r>
          </w:p>
        </w:tc>
        <w:tc>
          <w:tcPr>
            <w:tcW w:w="92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39.56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5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Restricted stock units 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(28,555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38.62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Balance,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423,621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10,663</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5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to vest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423,621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37.16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5"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10,663</w:t>
            </w:r>
          </w:p>
        </w:tc>
        <w:tc>
          <w:tcPr>
            <w:tcW w:w="3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 number of RSUs vested includes shares of common stock that the Company withheld to satisfy the minimum statutory tax withholding requirements. As of December 31, 2021, there was $14.7</w:t>
      </w:r>
      <w:r>
        <w:rPr>
          <w:rFonts w:ascii="Times New Roman" w:hAnsi="Times New Roman"/>
          <w:sz w:val="20"/>
        </w:rPr>
        <w:t xml:space="preserve"> </w:t>
      </w:r>
      <w:r>
        <w:rPr>
          <w:rFonts w:ascii="Times New Roman" w:hAnsi="Times New Roman"/>
          <w:b w:val="false"/>
          <w:sz w:val="20"/>
        </w:rPr>
        <w:t>million of total unrecognized compensation cost related to RSUs that is expected to be recognized over a weighted average period of 3.2</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240" w:after="0"/>
        <w:jc w:val="left"/>
        <w:rPr>
          <w:rFonts w:ascii="Times New Roman" w:hAnsi="Times New Roman"/>
          <w:sz w:val="20"/>
        </w:rPr>
      </w:pPr>
      <w:r>
        <w:rPr>
          <w:rFonts w:ascii="Times New Roman" w:hAnsi="Times New Roman"/>
          <w:b w:val="false"/>
          <w:sz w:val="20"/>
        </w:rPr>
        <w:t>The total fair value of RSUs vested for the years ended December 31, 2021, 2020 and 2019</w:t>
      </w:r>
      <w:r>
        <w:rPr>
          <w:rFonts w:ascii="Times New Roman" w:hAnsi="Times New Roman"/>
          <w:sz w:val="20"/>
        </w:rPr>
        <w:t xml:space="preserve"> </w:t>
      </w:r>
      <w:r>
        <w:rPr>
          <w:rFonts w:ascii="Times New Roman" w:hAnsi="Times New Roman"/>
          <w:b w:val="false"/>
          <w:sz w:val="20"/>
        </w:rPr>
        <w:t>was $3.1</w:t>
      </w:r>
      <w:r>
        <w:rPr>
          <w:rFonts w:ascii="Times New Roman" w:hAnsi="Times New Roman"/>
          <w:sz w:val="20"/>
        </w:rPr>
        <w:t xml:space="preserve"> </w:t>
      </w:r>
      <w:r>
        <w:rPr>
          <w:rFonts w:ascii="Times New Roman" w:hAnsi="Times New Roman"/>
          <w:b w:val="false"/>
          <w:sz w:val="20"/>
        </w:rPr>
        <w:t>million, $0.1</w:t>
      </w:r>
      <w:r>
        <w:rPr>
          <w:rFonts w:ascii="Times New Roman" w:hAnsi="Times New Roman"/>
          <w:sz w:val="20"/>
        </w:rPr>
        <w:t xml:space="preserve"> </w:t>
      </w:r>
      <w:r>
        <w:rPr>
          <w:rFonts w:ascii="Times New Roman" w:hAnsi="Times New Roman"/>
          <w:b w:val="false"/>
          <w:sz w:val="20"/>
        </w:rPr>
        <w:t>million and zero, respectively.</w:t>
      </w:r>
    </w:p>
    <w:p>
      <w:pPr>
        <w:pStyle w:val="TextBody"/>
        <w:spacing w:lineRule="auto" w:line="247" w:before="360" w:after="0"/>
        <w:jc w:val="left"/>
        <w:rPr>
          <w:rFonts w:ascii="Times New Roman" w:hAnsi="Times New Roman"/>
          <w:b/>
          <w:i/>
          <w:sz w:val="20"/>
        </w:rPr>
      </w:pPr>
      <w:r>
        <w:rPr>
          <w:rFonts w:ascii="Times New Roman" w:hAnsi="Times New Roman"/>
          <w:b/>
          <w:i/>
          <w:sz w:val="20"/>
        </w:rPr>
        <w:t>Stock-based compensation expense</w:t>
      </w:r>
    </w:p>
    <w:p>
      <w:pPr>
        <w:pStyle w:val="TextBody"/>
        <w:spacing w:lineRule="auto" w:line="273" w:before="120" w:after="0"/>
        <w:jc w:val="left"/>
        <w:rPr>
          <w:rFonts w:ascii="Times New Roman" w:hAnsi="Times New Roman"/>
          <w:sz w:val="20"/>
        </w:rPr>
      </w:pPr>
      <w:r>
        <w:rPr>
          <w:rFonts w:ascii="Times New Roman" w:hAnsi="Times New Roman"/>
          <w:b w:val="false"/>
          <w:sz w:val="20"/>
        </w:rPr>
        <w:t>Total stock-based compensation expense related to stock options, RSUs and the 2020 ESPP by function was as follows:</w:t>
      </w:r>
      <w:r>
        <w:rPr>
          <w:rFonts w:ascii="Times New Roman" w:hAnsi="Times New Roman"/>
          <w:sz w:val="20"/>
        </w:rPr>
        <w:t xml:space="preserve"> </w:t>
      </w:r>
    </w:p>
    <w:p>
      <w:pPr>
        <w:pStyle w:val="TextBody"/>
        <w:spacing w:lineRule="auto" w:line="273" w:before="0" w:after="0"/>
        <w:jc w:val="left"/>
        <w:rPr/>
      </w:pPr>
      <w:r>
        <w:rPr/>
        <w:t> </w:t>
      </w:r>
    </w:p>
    <w:tbl>
      <w:tblPr>
        <w:tblW w:w="5683" w:type="dxa"/>
        <w:jc w:val="left"/>
        <w:tblInd w:w="0" w:type="dxa"/>
        <w:tblCellMar>
          <w:top w:w="28" w:type="dxa"/>
          <w:left w:w="28" w:type="dxa"/>
          <w:bottom w:w="28" w:type="dxa"/>
          <w:right w:w="28" w:type="dxa"/>
        </w:tblCellMar>
      </w:tblPr>
      <w:tblGrid>
        <w:gridCol w:w="2311"/>
        <w:gridCol w:w="146"/>
        <w:gridCol w:w="211"/>
        <w:gridCol w:w="676"/>
        <w:gridCol w:w="146"/>
        <w:gridCol w:w="146"/>
        <w:gridCol w:w="211"/>
        <w:gridCol w:w="571"/>
        <w:gridCol w:w="146"/>
        <w:gridCol w:w="146"/>
        <w:gridCol w:w="211"/>
        <w:gridCol w:w="571"/>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35"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8,877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4,038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1,372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20,724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8,886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3,161</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114</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Stock-based compensation related to options and RSUs granted to consultants was $0.7</w:t>
      </w:r>
      <w:r>
        <w:rPr>
          <w:rFonts w:ascii="Times New Roman" w:hAnsi="Times New Roman"/>
          <w:sz w:val="20"/>
        </w:rPr>
        <w:t xml:space="preserve"> </w:t>
      </w:r>
      <w:r>
        <w:rPr>
          <w:rFonts w:ascii="Times New Roman" w:hAnsi="Times New Roman"/>
          <w:b w:val="false"/>
          <w:sz w:val="20"/>
        </w:rPr>
        <w:t>million, $0.8</w:t>
      </w:r>
      <w:r>
        <w:rPr>
          <w:rFonts w:ascii="Times New Roman" w:hAnsi="Times New Roman"/>
          <w:sz w:val="20"/>
        </w:rPr>
        <w:t xml:space="preserve"> </w:t>
      </w:r>
      <w:r>
        <w:rPr>
          <w:rFonts w:ascii="Times New Roman" w:hAnsi="Times New Roman"/>
          <w:b w:val="false"/>
          <w:sz w:val="20"/>
        </w:rPr>
        <w:t>million and $0.7</w:t>
      </w:r>
      <w:r>
        <w:rPr>
          <w:rFonts w:ascii="Times New Roman" w:hAnsi="Times New Roman"/>
          <w:sz w:val="20"/>
        </w:rPr>
        <w:t xml:space="preserve"> </w:t>
      </w:r>
      <w:r>
        <w:rPr>
          <w:rFonts w:ascii="Times New Roman" w:hAnsi="Times New Roman"/>
          <w:b w:val="false"/>
          <w:sz w:val="20"/>
        </w:rPr>
        <w:t>million for the years ended December 31, 2021, 2020 and 2019, respectively.</w:t>
      </w:r>
      <w:r>
        <w:rPr>
          <w:rFonts w:ascii="Times New Roman" w:hAnsi="Times New Roman"/>
          <w:sz w:val="20"/>
        </w:rPr>
        <w:t xml:space="preserve"> </w:t>
      </w:r>
    </w:p>
    <w:p>
      <w:pPr>
        <w:pStyle w:val="TextBody"/>
        <w:spacing w:lineRule="auto" w:line="273" w:before="160" w:after="0"/>
        <w:jc w:val="left"/>
        <w:rPr>
          <w:rFonts w:ascii="Times New Roman" w:hAnsi="Times New Roman"/>
          <w:b/>
          <w:sz w:val="20"/>
        </w:rPr>
      </w:pPr>
      <w:r>
        <w:rPr>
          <w:rFonts w:ascii="Times New Roman" w:hAnsi="Times New Roman"/>
          <w:b/>
          <w:sz w:val="20"/>
        </w:rPr>
        <w:t>12.</w:t>
      </w:r>
    </w:p>
    <w:p>
      <w:pPr>
        <w:pStyle w:val="TextBody"/>
        <w:spacing w:lineRule="auto" w:line="273" w:before="160" w:after="283"/>
        <w:jc w:val="left"/>
        <w:rPr>
          <w:rFonts w:ascii="Times New Roman" w:hAnsi="Times New Roman"/>
          <w:b/>
          <w:sz w:val="20"/>
        </w:rPr>
      </w:pPr>
      <w:r>
        <w:rPr>
          <w:rFonts w:ascii="Times New Roman" w:hAnsi="Times New Roman"/>
          <w:b/>
          <w:sz w:val="20"/>
        </w:rPr>
        <w:t>Income taxes</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recorded an income tax benefit of zero</w:t>
      </w:r>
      <w:r>
        <w:rPr>
          <w:rFonts w:ascii="Times New Roman" w:hAnsi="Times New Roman"/>
          <w:sz w:val="20"/>
        </w:rPr>
        <w:t xml:space="preserve"> </w:t>
      </w:r>
      <w:r>
        <w:rPr>
          <w:rFonts w:ascii="Times New Roman" w:hAnsi="Times New Roman"/>
          <w:b w:val="false"/>
          <w:sz w:val="20"/>
        </w:rPr>
        <w:t>and $0.4</w:t>
      </w:r>
      <w:r>
        <w:rPr>
          <w:rFonts w:ascii="Times New Roman" w:hAnsi="Times New Roman"/>
          <w:sz w:val="20"/>
        </w:rPr>
        <w:t xml:space="preserve"> </w:t>
      </w:r>
      <w:r>
        <w:rPr>
          <w:rFonts w:ascii="Times New Roman" w:hAnsi="Times New Roman"/>
          <w:b w:val="false"/>
          <w:sz w:val="20"/>
        </w:rPr>
        <w:t>million for the years ended December 31, 2021 and 2020, respectively, which reflects a change in the valuation allowance relating to the acquisition of Warp Drive Bio in 2018. The Company has incurred net pre-tax losses in the United States only for all periods presented. Deferred tax assets and liabilities are recognized for the future tax consequences attributable to the differences between the carrying amounts of existing assets and liabilities in the financial statements and their respective tax bases using tax rates expected to be in effect during the years in which the basis differences reverse.</w:t>
      </w:r>
    </w:p>
    <w:p>
      <w:pPr>
        <w:pStyle w:val="TextBody"/>
        <w:spacing w:lineRule="auto" w:line="273" w:before="240" w:after="0"/>
        <w:jc w:val="left"/>
        <w:rPr>
          <w:rFonts w:ascii="Times New Roman" w:hAnsi="Times New Roman"/>
          <w:sz w:val="20"/>
        </w:rPr>
      </w:pPr>
      <w:r>
        <w:rPr>
          <w:rFonts w:ascii="Times New Roman" w:hAnsi="Times New Roman"/>
          <w:b w:val="false"/>
          <w:sz w:val="20"/>
        </w:rPr>
        <w:t>The benefit from income taxes differs from the amount expected by applying the federal statutory rate to the loss before taxes as follows:</w:t>
      </w:r>
      <w:r>
        <w:rPr>
          <w:rFonts w:ascii="Times New Roman" w:hAnsi="Times New Roman"/>
          <w:sz w:val="20"/>
        </w:rPr>
        <w:t xml:space="preserve"> </w:t>
      </w:r>
    </w:p>
    <w:p>
      <w:pPr>
        <w:pStyle w:val="TextBody"/>
        <w:spacing w:lineRule="auto" w:line="273" w:before="0" w:after="0"/>
        <w:jc w:val="left"/>
        <w:rPr/>
      </w:pPr>
      <w:r>
        <w:rPr/>
        <w:t> </w:t>
      </w:r>
    </w:p>
    <w:tbl>
      <w:tblPr>
        <w:tblW w:w="6042" w:type="dxa"/>
        <w:jc w:val="left"/>
        <w:tblInd w:w="0" w:type="dxa"/>
        <w:tblCellMar>
          <w:top w:w="28" w:type="dxa"/>
          <w:left w:w="28" w:type="dxa"/>
          <w:bottom w:w="28" w:type="dxa"/>
          <w:right w:w="28" w:type="dxa"/>
        </w:tblCellMar>
      </w:tblPr>
      <w:tblGrid>
        <w:gridCol w:w="3586"/>
        <w:gridCol w:w="146"/>
        <w:gridCol w:w="165"/>
        <w:gridCol w:w="596"/>
        <w:gridCol w:w="307"/>
        <w:gridCol w:w="165"/>
        <w:gridCol w:w="165"/>
        <w:gridCol w:w="596"/>
        <w:gridCol w:w="316"/>
      </w:tblGrid>
      <w:tr>
        <w:trPr/>
        <w:tc>
          <w:tcPr>
            <w:tcW w:w="3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94"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Federal statutory income tax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w:t>
            </w:r>
          </w:p>
        </w:tc>
        <w:tc>
          <w:tcPr>
            <w:tcW w:w="3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5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State income tax rate, net of federal benefit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35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tax credits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w:t>
            </w:r>
          </w:p>
        </w:tc>
        <w:tc>
          <w:tcPr>
            <w:tcW w:w="307"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35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Change in valuation allowance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(31.4</w:t>
            </w:r>
          </w:p>
        </w:tc>
        <w:tc>
          <w:tcPr>
            <w:tcW w:w="3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(34.3</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5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Non-deductible permanent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(0.5</w:t>
            </w:r>
          </w:p>
        </w:tc>
        <w:tc>
          <w:tcPr>
            <w:tcW w:w="30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59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0.9</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35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(0.2</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1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(0.3</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5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Benefit from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w:t>
            </w:r>
          </w:p>
        </w:tc>
        <w:tc>
          <w:tcPr>
            <w:tcW w:w="3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5" w:type="dxa"/>
            <w:tcBorders/>
            <w:shd w:fill="auto" w:val="clear"/>
            <w:vAlign w:val="center"/>
          </w:tcPr>
          <w:p>
            <w:pPr>
              <w:pStyle w:val="TableContents"/>
              <w:spacing w:lineRule="auto" w:line="252" w:before="0" w:after="0"/>
              <w:ind w:left="0" w:right="0" w:hanging="0"/>
              <w:jc w:val="left"/>
              <w:rPr/>
            </w:pPr>
            <w:r>
              <w:rPr/>
              <w:t> </w:t>
            </w:r>
          </w:p>
        </w:tc>
        <w:tc>
          <w:tcPr>
            <w:tcW w:w="1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0.3</w:t>
            </w:r>
          </w:p>
        </w:tc>
        <w:tc>
          <w:tcPr>
            <w:tcW w:w="3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 (in thousands):</w:t>
      </w:r>
      <w:r>
        <w:rPr>
          <w:rFonts w:ascii="Times New Roman" w:hAnsi="Times New Roman"/>
          <w:sz w:val="24"/>
        </w:rPr>
        <w:t xml:space="preserve"> </w:t>
      </w:r>
    </w:p>
    <w:p>
      <w:pPr>
        <w:pStyle w:val="TextBody"/>
        <w:spacing w:lineRule="auto" w:line="273" w:before="0" w:after="0"/>
        <w:jc w:val="left"/>
        <w:rPr/>
      </w:pPr>
      <w:r>
        <w:rPr/>
        <w:t> </w:t>
      </w:r>
    </w:p>
    <w:tbl>
      <w:tblPr>
        <w:tblW w:w="6709" w:type="dxa"/>
        <w:jc w:val="left"/>
        <w:tblInd w:w="0" w:type="dxa"/>
        <w:tblCellMar>
          <w:top w:w="28" w:type="dxa"/>
          <w:left w:w="28" w:type="dxa"/>
          <w:bottom w:w="28" w:type="dxa"/>
          <w:right w:w="28" w:type="dxa"/>
        </w:tblCellMar>
      </w:tblPr>
      <w:tblGrid>
        <w:gridCol w:w="3796"/>
        <w:gridCol w:w="146"/>
        <w:gridCol w:w="211"/>
        <w:gridCol w:w="841"/>
        <w:gridCol w:w="166"/>
        <w:gridCol w:w="146"/>
        <w:gridCol w:w="211"/>
        <w:gridCol w:w="781"/>
        <w:gridCol w:w="411"/>
      </w:tblGrid>
      <w:tr>
        <w:trPr/>
        <w:tc>
          <w:tcPr>
            <w:tcW w:w="3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5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Deferred tax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operating loss carryforwards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123,991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74,137</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Accruals and reserves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9,164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8,505</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 credits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14,449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10,346</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19,979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9,845</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1,241</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Gross deferred tax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171,445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104,112</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valuation allowance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(143,474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(84,680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deferred tax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27,971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19,432</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Deferred tax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Fixed assets and 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(10,073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(10,397</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Indefinite-lived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(7,444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(7,444</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Lease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(766</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(17,898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(8,269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Gross deferred tax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(35,415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(26,876</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deferred tax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(7,444</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80" w:after="0"/>
        <w:jc w:val="left"/>
        <w:rPr>
          <w:rFonts w:ascii="Times New Roman" w:hAnsi="Times New Roman"/>
          <w:sz w:val="20"/>
        </w:rPr>
      </w:pPr>
      <w:r>
        <w:rPr>
          <w:rFonts w:ascii="Times New Roman" w:hAnsi="Times New Roman"/>
          <w:b w:val="false"/>
          <w:sz w:val="20"/>
        </w:rPr>
        <w:t>The realization of deferred tax assets is dependent upon future earnings, if any, the timing and amount of which are uncertain. Due to the lack of earnings history, the net deferred tax assets have been offset by a valuation allowance. The valuation allowance increased by $58.8</w:t>
      </w:r>
      <w:r>
        <w:rPr>
          <w:rFonts w:ascii="Times New Roman" w:hAnsi="Times New Roman"/>
          <w:sz w:val="20"/>
        </w:rPr>
        <w:t xml:space="preserve"> </w:t>
      </w:r>
      <w:r>
        <w:rPr>
          <w:rFonts w:ascii="Times New Roman" w:hAnsi="Times New Roman"/>
          <w:b w:val="false"/>
          <w:sz w:val="20"/>
        </w:rPr>
        <w:t>million and $37.3</w:t>
      </w:r>
      <w:r>
        <w:rPr>
          <w:rFonts w:ascii="Times New Roman" w:hAnsi="Times New Roman"/>
          <w:sz w:val="20"/>
        </w:rPr>
        <w:t xml:space="preserve"> </w:t>
      </w:r>
      <w:r>
        <w:rPr>
          <w:rFonts w:ascii="Times New Roman" w:hAnsi="Times New Roman"/>
          <w:b w:val="false"/>
          <w:sz w:val="20"/>
        </w:rPr>
        <w:t>million during the years ended December 31, 2021 and 2020, respectively. The Company had net operating loss carryforwards for federal, California, Massachusetts, and New Jersey income tax purposes of $432.1</w:t>
      </w:r>
      <w:r>
        <w:rPr>
          <w:rFonts w:ascii="Times New Roman" w:hAnsi="Times New Roman"/>
          <w:sz w:val="20"/>
        </w:rPr>
        <w:t xml:space="preserve"> </w:t>
      </w:r>
      <w:r>
        <w:rPr>
          <w:rFonts w:ascii="Times New Roman" w:hAnsi="Times New Roman"/>
          <w:b w:val="false"/>
          <w:sz w:val="20"/>
        </w:rPr>
        <w:t>million, $52.4</w:t>
      </w:r>
      <w:r>
        <w:rPr>
          <w:rFonts w:ascii="Times New Roman" w:hAnsi="Times New Roman"/>
          <w:sz w:val="20"/>
        </w:rPr>
        <w:t xml:space="preserve"> </w:t>
      </w:r>
      <w:r>
        <w:rPr>
          <w:rFonts w:ascii="Times New Roman" w:hAnsi="Times New Roman"/>
          <w:b w:val="false"/>
          <w:sz w:val="20"/>
        </w:rPr>
        <w:t>million, $69.3</w:t>
      </w:r>
      <w:r>
        <w:rPr>
          <w:rFonts w:ascii="Times New Roman" w:hAnsi="Times New Roman"/>
          <w:sz w:val="20"/>
        </w:rPr>
        <w:t xml:space="preserve"> </w:t>
      </w:r>
      <w:r>
        <w:rPr>
          <w:rFonts w:ascii="Times New Roman" w:hAnsi="Times New Roman"/>
          <w:b w:val="false"/>
          <w:sz w:val="20"/>
        </w:rPr>
        <w:t>million and $317.8</w:t>
      </w:r>
      <w:r>
        <w:rPr>
          <w:rFonts w:ascii="Times New Roman" w:hAnsi="Times New Roman"/>
          <w:sz w:val="20"/>
        </w:rPr>
        <w:t xml:space="preserve"> </w:t>
      </w:r>
      <w:r>
        <w:rPr>
          <w:rFonts w:ascii="Times New Roman" w:hAnsi="Times New Roman"/>
          <w:b w:val="false"/>
          <w:sz w:val="20"/>
        </w:rPr>
        <w:t>million, respectively, as of December 31, 2021. The federal, California and Massachusetts net operating loss carryforwards, if not utilized, will expire beginning in 2035, with the exception of $338.4</w:t>
      </w:r>
      <w:r>
        <w:rPr>
          <w:rFonts w:ascii="Times New Roman" w:hAnsi="Times New Roman"/>
          <w:sz w:val="20"/>
        </w:rPr>
        <w:t xml:space="preserve"> </w:t>
      </w:r>
      <w:r>
        <w:rPr>
          <w:rFonts w:ascii="Times New Roman" w:hAnsi="Times New Roman"/>
          <w:b w:val="false"/>
          <w:sz w:val="20"/>
        </w:rPr>
        <w:t>million in federal net operating loss carryforwards, which can be carried forward indefinitely. New Jersey net operating loss carryforwards, if not utilized, will expire beginning in 2039. Under the Tax Act, federal net operating losses arising after December 31, 2017 do not expire and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115</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80" w:after="0"/>
        <w:jc w:val="left"/>
        <w:rPr>
          <w:rFonts w:ascii="Times New Roman" w:hAnsi="Times New Roman"/>
          <w:b w:val="false"/>
          <w:sz w:val="20"/>
        </w:rPr>
      </w:pPr>
      <w:r>
        <w:rPr>
          <w:rFonts w:ascii="Times New Roman" w:hAnsi="Times New Roman"/>
          <w:b w:val="false"/>
          <w:sz w:val="20"/>
        </w:rPr>
        <w:t>cannot be carried back. However, the TJCA limits the amount of federal net operating losses that can be used annually to 80% of taxable income for periods beginning after December 31, 2017. Existing federal net operating losses arising in years ending on or before December 31, 2017 are not affected by these provisions.</w:t>
      </w:r>
    </w:p>
    <w:p>
      <w:pPr>
        <w:pStyle w:val="TextBody"/>
        <w:spacing w:lineRule="auto" w:line="273" w:before="240" w:after="0"/>
        <w:jc w:val="left"/>
        <w:rPr>
          <w:rFonts w:ascii="Times New Roman" w:hAnsi="Times New Roman"/>
          <w:sz w:val="20"/>
        </w:rPr>
      </w:pPr>
      <w:r>
        <w:rPr>
          <w:rFonts w:ascii="Times New Roman" w:hAnsi="Times New Roman"/>
          <w:b w:val="false"/>
          <w:sz w:val="20"/>
        </w:rPr>
        <w:t>The Company also had federal and state research and development credit carryforwards of $13.0</w:t>
      </w:r>
      <w:r>
        <w:rPr>
          <w:rFonts w:ascii="Times New Roman" w:hAnsi="Times New Roman"/>
          <w:sz w:val="20"/>
        </w:rPr>
        <w:t xml:space="preserve"> </w:t>
      </w:r>
      <w:r>
        <w:rPr>
          <w:rFonts w:ascii="Times New Roman" w:hAnsi="Times New Roman"/>
          <w:b w:val="false"/>
          <w:sz w:val="20"/>
        </w:rPr>
        <w:t>million and $7.9</w:t>
      </w:r>
      <w:r>
        <w:rPr>
          <w:rFonts w:ascii="Times New Roman" w:hAnsi="Times New Roman"/>
          <w:sz w:val="20"/>
        </w:rPr>
        <w:t xml:space="preserve"> </w:t>
      </w:r>
      <w:r>
        <w:rPr>
          <w:rFonts w:ascii="Times New Roman" w:hAnsi="Times New Roman"/>
          <w:b w:val="false"/>
          <w:sz w:val="20"/>
        </w:rPr>
        <w:t>million, respectively, as of December 31, 2021. The federal credits will expire starting in 2034</w:t>
      </w:r>
      <w:r>
        <w:rPr>
          <w:rFonts w:ascii="Times New Roman" w:hAnsi="Times New Roman"/>
          <w:sz w:val="20"/>
        </w:rPr>
        <w:t xml:space="preserve"> </w:t>
      </w:r>
      <w:r>
        <w:rPr>
          <w:rFonts w:ascii="Times New Roman" w:hAnsi="Times New Roman"/>
          <w:b w:val="false"/>
          <w:sz w:val="20"/>
        </w:rPr>
        <w:t>if not utilized and the state research credits will expire beginning in 2031, with the exception of $7.1</w:t>
      </w:r>
      <w:r>
        <w:rPr>
          <w:rFonts w:ascii="Times New Roman" w:hAnsi="Times New Roman"/>
          <w:sz w:val="20"/>
        </w:rPr>
        <w:t xml:space="preserve"> </w:t>
      </w:r>
      <w:r>
        <w:rPr>
          <w:rFonts w:ascii="Times New Roman" w:hAnsi="Times New Roman"/>
          <w:b w:val="false"/>
          <w:sz w:val="20"/>
        </w:rPr>
        <w:t>million in California research credits, which can be carried forward indefinitely. Federal, California, Massachusetts and New Jersey tax laws impose significant restrictions on the utilization of net operating loss carryforwards in the event of a change in ownership of the Company, as defined by Internal Revenue Code Section 382 (Section 382). The Company performed a study in which it determined that it had experienced changes in ownership in December 2014, June 2018, and March 2020 as defined by Section 382. No federal or state net operating losses are expected to expire unutilized as a result of the limitation, with the exception of $5.5</w:t>
      </w:r>
      <w:r>
        <w:rPr>
          <w:rFonts w:ascii="Times New Roman" w:hAnsi="Times New Roman"/>
          <w:sz w:val="20"/>
        </w:rPr>
        <w:t xml:space="preserve"> </w:t>
      </w:r>
      <w:r>
        <w:rPr>
          <w:rFonts w:ascii="Times New Roman" w:hAnsi="Times New Roman"/>
          <w:b w:val="false"/>
          <w:sz w:val="20"/>
        </w:rPr>
        <w:t>million in California net operating losses. In addition, in the future the Company may experience ownership changes, which may limit the utilization of net operating loss carryforwards or other tax attributes.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 reconciliation of the beginning and ending amount of gross unrecognized tax benefits is as follows:</w:t>
      </w:r>
    </w:p>
    <w:p>
      <w:pPr>
        <w:pStyle w:val="TextBody"/>
        <w:spacing w:lineRule="auto" w:line="273" w:before="0" w:after="0"/>
        <w:jc w:val="left"/>
        <w:rPr/>
      </w:pPr>
      <w:r>
        <w:rPr/>
        <w:t> </w:t>
      </w:r>
    </w:p>
    <w:tbl>
      <w:tblPr>
        <w:tblW w:w="6994" w:type="dxa"/>
        <w:jc w:val="left"/>
        <w:tblInd w:w="0" w:type="dxa"/>
        <w:tblCellMar>
          <w:top w:w="28" w:type="dxa"/>
          <w:left w:w="28" w:type="dxa"/>
          <w:bottom w:w="28" w:type="dxa"/>
          <w:right w:w="28" w:type="dxa"/>
        </w:tblCellMar>
      </w:tblPr>
      <w:tblGrid>
        <w:gridCol w:w="4561"/>
        <w:gridCol w:w="146"/>
        <w:gridCol w:w="211"/>
        <w:gridCol w:w="571"/>
        <w:gridCol w:w="166"/>
        <w:gridCol w:w="146"/>
        <w:gridCol w:w="211"/>
        <w:gridCol w:w="571"/>
        <w:gridCol w:w="411"/>
      </w:tblGrid>
      <w:tr>
        <w:trPr/>
        <w:tc>
          <w:tcPr>
            <w:tcW w:w="45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5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5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5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45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Beginning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3,593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2,419</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456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Changes related to tax positions taken in the prior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456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Changes related to tax positions taken in current year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1,571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1,215</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56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Ending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5,143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3,593</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 Company has unrecognized tax benefits of $4.7</w:t>
      </w:r>
      <w:r>
        <w:rPr>
          <w:rFonts w:ascii="Times New Roman" w:hAnsi="Times New Roman"/>
          <w:sz w:val="20"/>
        </w:rPr>
        <w:t xml:space="preserve"> </w:t>
      </w:r>
      <w:r>
        <w:rPr>
          <w:rFonts w:ascii="Times New Roman" w:hAnsi="Times New Roman"/>
          <w:b w:val="false"/>
          <w:sz w:val="20"/>
        </w:rPr>
        <w:t>million and $3.3</w:t>
      </w:r>
      <w:r>
        <w:rPr>
          <w:rFonts w:ascii="Times New Roman" w:hAnsi="Times New Roman"/>
          <w:sz w:val="20"/>
        </w:rPr>
        <w:t xml:space="preserve"> </w:t>
      </w:r>
      <w:r>
        <w:rPr>
          <w:rFonts w:ascii="Times New Roman" w:hAnsi="Times New Roman"/>
          <w:b w:val="false"/>
          <w:sz w:val="20"/>
        </w:rPr>
        <w:t>million as of December 31, 2021</w:t>
      </w:r>
      <w:r>
        <w:rPr>
          <w:rFonts w:ascii="Times New Roman" w:hAnsi="Times New Roman"/>
          <w:sz w:val="20"/>
        </w:rPr>
        <w:t xml:space="preserve"> </w:t>
      </w:r>
      <w:r>
        <w:rPr>
          <w:rFonts w:ascii="Times New Roman" w:hAnsi="Times New Roman"/>
          <w:b w:val="false"/>
          <w:sz w:val="20"/>
        </w:rPr>
        <w:t>and 2020, which would affect the effective tax rate if recognized; however, recognition would be in the form of a deferred tax attribute which would likely be offset by a valuation allowance. The Company does not anticipate any significant changes to unrecognized tax benefits over the next 12 months. The Company has recognized no</w:t>
      </w:r>
      <w:r>
        <w:rPr>
          <w:rFonts w:ascii="Times New Roman" w:hAnsi="Times New Roman"/>
          <w:sz w:val="20"/>
        </w:rPr>
        <w:t xml:space="preserve"> </w:t>
      </w:r>
      <w:r>
        <w:rPr>
          <w:rFonts w:ascii="Times New Roman" w:hAnsi="Times New Roman"/>
          <w:b w:val="false"/>
          <w:sz w:val="20"/>
        </w:rPr>
        <w:t>interest or penalties related to uncertain tax positions for the periods presented.</w:t>
      </w:r>
    </w:p>
    <w:p>
      <w:pPr>
        <w:pStyle w:val="TextBody"/>
        <w:spacing w:lineRule="auto" w:line="247" w:before="240" w:after="0"/>
        <w:jc w:val="left"/>
        <w:rPr>
          <w:rFonts w:ascii="Times New Roman" w:hAnsi="Times New Roman"/>
          <w:sz w:val="20"/>
        </w:rPr>
      </w:pPr>
      <w:r>
        <w:rPr>
          <w:rFonts w:ascii="Times New Roman" w:hAnsi="Times New Roman"/>
          <w:b w:val="false"/>
          <w:sz w:val="20"/>
        </w:rPr>
        <w:t>Income tax returns are filed in the United States, California, Massachusetts and New Jersey. The years 2010 through 2021 remain open to examination by the domestic taxing jurisdictions to which the Company is subject. Net operating losses generated on a tax return basis by the Company for 2010 through 2021</w:t>
      </w:r>
      <w:r>
        <w:rPr>
          <w:rFonts w:ascii="Times New Roman" w:hAnsi="Times New Roman"/>
          <w:sz w:val="20"/>
        </w:rPr>
        <w:t xml:space="preserve"> </w:t>
      </w:r>
      <w:r>
        <w:rPr>
          <w:rFonts w:ascii="Times New Roman" w:hAnsi="Times New Roman"/>
          <w:b w:val="false"/>
          <w:sz w:val="20"/>
        </w:rPr>
        <w:t>remain open to examination by the domestic taxing jurisdictions.</w:t>
      </w:r>
    </w:p>
    <w:p>
      <w:pPr>
        <w:pStyle w:val="TextBody"/>
        <w:spacing w:lineRule="auto" w:line="247" w:before="240" w:after="0"/>
        <w:jc w:val="left"/>
        <w:rPr>
          <w:rFonts w:ascii="Times New Roman" w:hAnsi="Times New Roman"/>
          <w:b w:val="false"/>
          <w:sz w:val="20"/>
        </w:rPr>
      </w:pPr>
      <w:r>
        <w:rPr>
          <w:rFonts w:ascii="Times New Roman" w:hAnsi="Times New Roman"/>
          <w:b w:val="false"/>
          <w:sz w:val="20"/>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pStyle w:val="TextBody"/>
        <w:spacing w:lineRule="auto" w:line="247" w:before="360" w:after="0"/>
        <w:jc w:val="left"/>
        <w:rPr>
          <w:rFonts w:ascii="Times New Roman" w:hAnsi="Times New Roman"/>
          <w:b/>
          <w:sz w:val="20"/>
        </w:rPr>
      </w:pPr>
      <w:r>
        <w:rPr>
          <w:rFonts w:ascii="Times New Roman" w:hAnsi="Times New Roman"/>
          <w:b/>
          <w:sz w:val="20"/>
        </w:rPr>
        <w:t>13.</w:t>
      </w:r>
    </w:p>
    <w:p>
      <w:pPr>
        <w:pStyle w:val="TextBody"/>
        <w:spacing w:lineRule="auto" w:line="247" w:before="360" w:after="283"/>
        <w:jc w:val="left"/>
        <w:rPr>
          <w:rFonts w:ascii="Times New Roman" w:hAnsi="Times New Roman"/>
          <w:b/>
          <w:sz w:val="20"/>
        </w:rPr>
      </w:pPr>
      <w:r>
        <w:rPr>
          <w:rFonts w:ascii="Times New Roman" w:hAnsi="Times New Roman"/>
          <w:b/>
          <w:sz w:val="20"/>
        </w:rPr>
        <w:t xml:space="preserve">Net loss per share attributable to common stockholders </w:t>
      </w:r>
    </w:p>
    <w:p>
      <w:pPr>
        <w:pStyle w:val="TextBody"/>
        <w:spacing w:lineRule="auto" w:line="247" w:before="120" w:after="0"/>
        <w:jc w:val="left"/>
        <w:rPr>
          <w:rFonts w:ascii="Times New Roman" w:hAnsi="Times New Roman"/>
          <w:sz w:val="20"/>
        </w:rPr>
      </w:pPr>
      <w:r>
        <w:rPr>
          <w:rFonts w:ascii="Times New Roman" w:hAnsi="Times New Roman"/>
          <w:b w:val="false"/>
          <w:sz w:val="20"/>
        </w:rPr>
        <w:t>The following table sets forth the computation of basic and diluted net loss per share attributable to common stockholders:</w:t>
      </w:r>
      <w:r>
        <w:rPr>
          <w:rFonts w:ascii="Times New Roman" w:hAnsi="Times New Roman"/>
          <w:sz w:val="20"/>
        </w:rPr>
        <w:t xml:space="preserve"> </w:t>
      </w:r>
    </w:p>
    <w:p>
      <w:pPr>
        <w:pStyle w:val="TextBody"/>
        <w:spacing w:lineRule="auto" w:line="247" w:before="0" w:after="0"/>
        <w:jc w:val="left"/>
        <w:rPr/>
      </w:pPr>
      <w:r>
        <w:rPr/>
        <w:t> </w:t>
      </w:r>
    </w:p>
    <w:tbl>
      <w:tblPr>
        <w:tblW w:w="8668" w:type="dxa"/>
        <w:jc w:val="left"/>
        <w:tblInd w:w="0" w:type="dxa"/>
        <w:tblCellMar>
          <w:top w:w="28" w:type="dxa"/>
          <w:left w:w="28" w:type="dxa"/>
          <w:bottom w:w="28" w:type="dxa"/>
          <w:right w:w="28" w:type="dxa"/>
        </w:tblCellMar>
      </w:tblPr>
      <w:tblGrid>
        <w:gridCol w:w="4441"/>
        <w:gridCol w:w="146"/>
        <w:gridCol w:w="196"/>
        <w:gridCol w:w="916"/>
        <w:gridCol w:w="166"/>
        <w:gridCol w:w="146"/>
        <w:gridCol w:w="196"/>
        <w:gridCol w:w="916"/>
        <w:gridCol w:w="166"/>
        <w:gridCol w:w="146"/>
        <w:gridCol w:w="196"/>
        <w:gridCol w:w="826"/>
        <w:gridCol w:w="211"/>
      </w:tblGrid>
      <w:tr>
        <w:trPr/>
        <w:tc>
          <w:tcPr>
            <w:tcW w:w="44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7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4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4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70"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 except share and per share data)</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44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Numerator: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r>
      <w:tr>
        <w:trPr/>
        <w:tc>
          <w:tcPr>
            <w:tcW w:w="44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(187,091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(108,159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(47,664</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4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Redeemable convertible preferred stock dividends-</w:t>
              <w:br/>
              <w:t>   undeclared and cumulative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(14,238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4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loss attributable to common stockholders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(187,091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(110,378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(61,902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4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Denominator: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r>
      <w:tr>
        <w:trPr/>
        <w:tc>
          <w:tcPr>
            <w:tcW w:w="44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Weighted-average shares outstanding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72,866,022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55,109,929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3,231,389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Less: Weighted – average unvested restricted shares and</w:t>
              <w:br/>
              <w:t>   shares subject to repurchase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(59,943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(235,810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(458,800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r>
        <w:trPr/>
        <w:tc>
          <w:tcPr>
            <w:tcW w:w="44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Weighted-average shares used to compute net loss per share</w:t>
              <w:br/>
              <w:t>   attributable to common stockholders-basic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72,806,079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54,874,119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2,772,589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4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Net loss per share attributable to common stockholders – basic</w:t>
              <w:br/>
              <w:t>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(2.57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(2.01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6"/>
              </w:rPr>
            </w:pPr>
            <w:r>
              <w:rPr>
                <w:rFonts w:ascii="Times New Roman" w:hAnsi="Times New Roman"/>
                <w:b w:val="false"/>
                <w:sz w:val="16"/>
              </w:rPr>
              <w:t>(22.33</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w:t>
            </w:r>
          </w:p>
        </w:tc>
      </w:tr>
    </w:tbl>
    <w:p>
      <w:pPr>
        <w:pStyle w:val="TextBody"/>
        <w:spacing w:lineRule="auto" w:line="247"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20"/>
        </w:rPr>
        <w:t>The following outstanding potentially dilutive shares have been excluded from the calculation of diluted net loss per share for the periods presented due to their anti-dilutive effect:</w:t>
      </w:r>
      <w:r>
        <w:rPr>
          <w:rFonts w:ascii="Times New Roman" w:hAnsi="Times New Roman"/>
          <w:sz w:val="20"/>
        </w:rPr>
        <w:t xml:space="preserve"> </w:t>
      </w:r>
    </w:p>
    <w:p>
      <w:pPr>
        <w:pStyle w:val="TextBody"/>
        <w:spacing w:lineRule="auto" w:line="273" w:before="0" w:after="0"/>
        <w:jc w:val="left"/>
        <w:rPr/>
      </w:pPr>
      <w:r>
        <w:rPr/>
        <w:t> </w:t>
      </w:r>
    </w:p>
    <w:tbl>
      <w:tblPr>
        <w:tblW w:w="8308" w:type="dxa"/>
        <w:jc w:val="left"/>
        <w:tblInd w:w="0" w:type="dxa"/>
        <w:tblCellMar>
          <w:top w:w="28" w:type="dxa"/>
          <w:left w:w="28" w:type="dxa"/>
          <w:bottom w:w="28" w:type="dxa"/>
          <w:right w:w="28" w:type="dxa"/>
        </w:tblCellMar>
      </w:tblPr>
      <w:tblGrid>
        <w:gridCol w:w="4051"/>
        <w:gridCol w:w="146"/>
        <w:gridCol w:w="146"/>
        <w:gridCol w:w="931"/>
        <w:gridCol w:w="146"/>
        <w:gridCol w:w="146"/>
        <w:gridCol w:w="146"/>
        <w:gridCol w:w="931"/>
        <w:gridCol w:w="146"/>
        <w:gridCol w:w="146"/>
        <w:gridCol w:w="146"/>
        <w:gridCol w:w="1036"/>
        <w:gridCol w:w="191"/>
      </w:tblGrid>
      <w:tr>
        <w:trPr/>
        <w:tc>
          <w:tcPr>
            <w:tcW w:w="4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2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ended 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2019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Redeemable convertible 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39,600,423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to purchase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6,050,938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5,118,979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4,918,299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early exercised subject to future vesting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30,378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130,793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349,501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restricted stock units of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423,621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85,639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shares to be purchased under ESPP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176,131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91,210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05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6,681,068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5,426,621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44,868,223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14.</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Related party relationships </w:t>
      </w:r>
    </w:p>
    <w:p>
      <w:pPr>
        <w:pStyle w:val="TextBody"/>
        <w:spacing w:lineRule="auto" w:line="252" w:before="120" w:after="0"/>
        <w:jc w:val="left"/>
        <w:rPr>
          <w:rFonts w:ascii="Times New Roman" w:hAnsi="Times New Roman"/>
          <w:sz w:val="20"/>
        </w:rPr>
      </w:pPr>
      <w:r>
        <w:rPr>
          <w:rFonts w:ascii="Times New Roman" w:hAnsi="Times New Roman"/>
          <w:b w:val="false"/>
          <w:sz w:val="20"/>
        </w:rPr>
        <w:t>Following the Company’s acquisition of Warp Drive, in January 2019, the Company entered into a sublease agreement with Casma to sublease the Cambridge Lease. The sublease by Casma and related sublease payments by Casma to the Company are fully guaranteed by an affiliate of Third Rock Ventures.</w:t>
      </w:r>
      <w:r>
        <w:rPr>
          <w:rFonts w:ascii="Times New Roman" w:hAnsi="Times New Roman"/>
          <w:sz w:val="20"/>
        </w:rPr>
        <w:t xml:space="preserve"> </w:t>
      </w:r>
    </w:p>
    <w:p>
      <w:pPr>
        <w:pStyle w:val="TextBody"/>
        <w:spacing w:lineRule="auto" w:line="273" w:before="360" w:after="0"/>
        <w:jc w:val="left"/>
        <w:rPr>
          <w:rFonts w:ascii="Times New Roman" w:hAnsi="Times New Roman"/>
          <w:b/>
          <w:sz w:val="20"/>
        </w:rPr>
      </w:pPr>
      <w:r>
        <w:rPr>
          <w:rFonts w:ascii="Times New Roman" w:hAnsi="Times New Roman"/>
          <w:b/>
          <w:sz w:val="20"/>
        </w:rPr>
        <w:t>15.</w:t>
      </w:r>
    </w:p>
    <w:p>
      <w:pPr>
        <w:pStyle w:val="TextBody"/>
        <w:spacing w:lineRule="auto" w:line="273" w:before="360" w:after="283"/>
        <w:jc w:val="left"/>
        <w:rPr>
          <w:rFonts w:ascii="Times New Roman" w:hAnsi="Times New Roman"/>
          <w:b/>
          <w:sz w:val="20"/>
        </w:rPr>
      </w:pPr>
      <w:r>
        <w:rPr>
          <w:rFonts w:ascii="Times New Roman" w:hAnsi="Times New Roman"/>
          <w:b/>
          <w:sz w:val="20"/>
        </w:rPr>
        <w:t>Subsequent events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360" w:after="0"/>
        <w:jc w:val="left"/>
        <w:rPr>
          <w:rFonts w:ascii="Times New Roman" w:hAnsi="Times New Roman"/>
          <w:b/>
          <w:sz w:val="20"/>
        </w:rPr>
      </w:pPr>
      <w:bookmarkStart w:id="26" w:name="item_9_changes_in_disagreements_with_acc"/>
      <w:bookmarkEnd w:id="26"/>
      <w:r>
        <w:rPr>
          <w:rFonts w:ascii="Times New Roman" w:hAnsi="Times New Roman"/>
          <w:b/>
          <w:sz w:val="20"/>
        </w:rPr>
        <w:t>Item 9. Changes in and Disagreements with Accountants on Accounting and Financial Disclosure.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360" w:after="0"/>
        <w:jc w:val="left"/>
        <w:rPr>
          <w:rFonts w:ascii="Times New Roman" w:hAnsi="Times New Roman"/>
          <w:sz w:val="20"/>
        </w:rPr>
      </w:pPr>
      <w:bookmarkStart w:id="27" w:name="item_9a_controls_procedures"/>
      <w:bookmarkEnd w:id="27"/>
      <w:r>
        <w:rPr>
          <w:rFonts w:ascii="Times New Roman" w:hAnsi="Times New Roman"/>
          <w:b/>
          <w:sz w:val="20"/>
        </w:rPr>
        <w:t>Item 9A. Controls and Procedures.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management, with the participation of our President and Chief Executive Officer and Director and our Senior Vice President, Finance and Principal Accounting Officer, our principal executive officer and principal financial officer, respectively, have evaluated our disclosure controls and procedures (as defined in Rules 13a-15(e) and 15d-15(e) under the Securities Exchange Act of 1934, as amended) as of December 31, 2021. Based on the evaluation, our President and Chief Executive Officer and Director and our Senior Vice President, Finance and Principal Accounting Officer have concluded that, as of December 31, 2021, our disclosure controls and procedures were effective.</w:t>
      </w:r>
      <w:r>
        <w:rPr>
          <w:rFonts w:ascii="Times New Roman" w:hAnsi="Times New Roman"/>
          <w:sz w:val="20"/>
        </w:rPr>
        <w:t xml:space="preserve"> </w:t>
      </w:r>
    </w:p>
    <w:p>
      <w:pPr>
        <w:pStyle w:val="TextBody"/>
        <w:spacing w:lineRule="auto" w:line="273" w:before="360" w:after="0"/>
        <w:jc w:val="left"/>
        <w:rPr>
          <w:rFonts w:ascii="Times New Roman" w:hAnsi="Times New Roman"/>
          <w:b/>
          <w:i/>
          <w:sz w:val="20"/>
        </w:rPr>
      </w:pPr>
      <w:r>
        <w:rPr>
          <w:rFonts w:ascii="Times New Roman" w:hAnsi="Times New Roman"/>
          <w:b/>
          <w:i/>
          <w:sz w:val="20"/>
        </w:rPr>
        <w:t>Management’s annual report on internal control over financial reporting</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Management is responsible for establishing and maintaining adequate internal control over financial reporting, as such term is defined in Exchange Act Rules 13a-15(f) and 15d-15(f).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effectiveness of our internal control over financial reporting as of December 31, 2021 has been audited by PricewaterhouseCoopers LLP, an independent registered public accounting firm, as stated in their report which appears herein.</w:t>
      </w:r>
    </w:p>
    <w:p>
      <w:pPr>
        <w:pStyle w:val="TextBody"/>
        <w:spacing w:lineRule="auto" w:line="273" w:before="360" w:after="0"/>
        <w:jc w:val="left"/>
        <w:rPr>
          <w:rFonts w:ascii="Times New Roman" w:hAnsi="Times New Roman"/>
          <w:b/>
          <w:i/>
          <w:sz w:val="20"/>
        </w:rPr>
      </w:pPr>
      <w:r>
        <w:rPr>
          <w:rFonts w:ascii="Times New Roman" w:hAnsi="Times New Roman"/>
          <w:b/>
          <w:i/>
          <w:sz w:val="20"/>
        </w:rPr>
        <w:t>Changes in internal control over financial reporting</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There were no changes in our internal controls over financial reporting during the three months ended December 31, 2021 that have materially affected, or are reasonably likely to materially affect, our internal control over financial reporting.</w:t>
      </w:r>
    </w:p>
    <w:p>
      <w:pPr>
        <w:pStyle w:val="TextBody"/>
        <w:spacing w:lineRule="auto" w:line="273" w:before="360" w:after="0"/>
        <w:jc w:val="left"/>
        <w:rPr>
          <w:rFonts w:ascii="Times New Roman" w:hAnsi="Times New Roman"/>
          <w:b/>
          <w:i/>
          <w:sz w:val="20"/>
        </w:rPr>
      </w:pPr>
      <w:r>
        <w:rPr>
          <w:rFonts w:ascii="Times New Roman" w:hAnsi="Times New Roman"/>
          <w:b/>
          <w:i/>
          <w:sz w:val="20"/>
        </w:rPr>
        <w:t>Inherent limitation on the effectiveness over financial reporting</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spacing w:lineRule="auto" w:line="273" w:before="360" w:after="0"/>
        <w:jc w:val="left"/>
        <w:rPr>
          <w:rFonts w:ascii="Times New Roman" w:hAnsi="Times New Roman"/>
          <w:sz w:val="20"/>
        </w:rPr>
      </w:pPr>
      <w:bookmarkStart w:id="28" w:name="item_9b_or_information"/>
      <w:bookmarkEnd w:id="28"/>
      <w:r>
        <w:rPr>
          <w:rFonts w:ascii="Times New Roman" w:hAnsi="Times New Roman"/>
          <w:b/>
          <w:sz w:val="20"/>
        </w:rPr>
        <w:t>Item 9B. Other Information.</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360" w:after="0"/>
        <w:jc w:val="left"/>
        <w:rPr>
          <w:rFonts w:ascii="Times New Roman" w:hAnsi="Times New Roman"/>
          <w:b/>
          <w:sz w:val="20"/>
        </w:rPr>
      </w:pPr>
      <w:bookmarkStart w:id="29" w:name="item9c_disclosure_regarding_foreign"/>
      <w:bookmarkEnd w:id="29"/>
      <w:r>
        <w:rPr>
          <w:rFonts w:ascii="Times New Roman" w:hAnsi="Times New Roman"/>
          <w:b/>
          <w:sz w:val="20"/>
        </w:rPr>
        <w:t>Item 9C. Disclosure Regarding Foreign Jurisdictions that Prevent Inspections.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bookmarkStart w:id="30" w:name="part_iii"/>
      <w:bookmarkEnd w:id="30"/>
      <w:r>
        <w:rPr>
          <w:rFonts w:ascii="Times New Roman" w:hAnsi="Times New Roman"/>
          <w:b/>
          <w:sz w:val="20"/>
        </w:rPr>
        <w:t>PART III</w:t>
      </w:r>
      <w:r>
        <w:rPr>
          <w:rFonts w:ascii="Times New Roman" w:hAnsi="Times New Roman"/>
          <w:sz w:val="20"/>
        </w:rPr>
        <w:t xml:space="preserve"> </w:t>
      </w:r>
    </w:p>
    <w:p>
      <w:pPr>
        <w:pStyle w:val="TextBody"/>
        <w:spacing w:lineRule="auto" w:line="273" w:before="200" w:after="0"/>
        <w:jc w:val="left"/>
        <w:rPr>
          <w:rFonts w:ascii="Times New Roman" w:hAnsi="Times New Roman"/>
          <w:b/>
          <w:sz w:val="20"/>
        </w:rPr>
      </w:pPr>
      <w:bookmarkStart w:id="31" w:name="item_10_directors_executive"/>
      <w:bookmarkEnd w:id="31"/>
      <w:r>
        <w:rPr>
          <w:rFonts w:ascii="Times New Roman" w:hAnsi="Times New Roman"/>
          <w:b/>
          <w:sz w:val="20"/>
        </w:rPr>
        <w:t>Item 10. Directors, Executive Officers and Corporate Governance.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Information required by this item will be contained in our definitive proxy statement to be filed with the SEC on Schedule 14A within 120 days after December 31, 2021, and is incorporated herein by reference.</w:t>
      </w:r>
    </w:p>
    <w:p>
      <w:pPr>
        <w:pStyle w:val="TextBody"/>
        <w:spacing w:lineRule="auto" w:line="273" w:before="360" w:after="0"/>
        <w:jc w:val="left"/>
        <w:rPr>
          <w:rFonts w:ascii="Times New Roman" w:hAnsi="Times New Roman"/>
          <w:b/>
          <w:sz w:val="20"/>
        </w:rPr>
      </w:pPr>
      <w:r>
        <w:rPr>
          <w:rFonts w:ascii="Times New Roman" w:hAnsi="Times New Roman"/>
          <w:b/>
          <w:sz w:val="20"/>
        </w:rPr>
        <w:t>Code of Business Conduct and Ethics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adopted a Code of Business Conduct and Ethics that applies to our officers, directors and employees, which is available on our website at https://ir.revmed.com/.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pStyle w:val="TextBody"/>
        <w:spacing w:lineRule="auto" w:line="273" w:before="360" w:after="0"/>
        <w:jc w:val="left"/>
        <w:rPr>
          <w:rFonts w:ascii="Times New Roman" w:hAnsi="Times New Roman"/>
          <w:sz w:val="20"/>
        </w:rPr>
      </w:pPr>
      <w:bookmarkStart w:id="32" w:name="item_11_executive_compensation"/>
      <w:bookmarkEnd w:id="32"/>
      <w:r>
        <w:rPr>
          <w:rFonts w:ascii="Times New Roman" w:hAnsi="Times New Roman"/>
          <w:b/>
          <w:sz w:val="20"/>
        </w:rPr>
        <w:t>Item 11. Executive Compensation.</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Information required by this item will be contained in our definitive proxy statement to be filed with the SEC on Schedule 14A to be filed within 120 days after December 31, 2021, and is incorporated herein by reference.</w:t>
      </w:r>
    </w:p>
    <w:p>
      <w:pPr>
        <w:pStyle w:val="TextBody"/>
        <w:spacing w:lineRule="auto" w:line="252" w:before="360" w:after="0"/>
        <w:jc w:val="left"/>
        <w:rPr>
          <w:rFonts w:ascii="Times New Roman" w:hAnsi="Times New Roman"/>
          <w:sz w:val="20"/>
        </w:rPr>
      </w:pPr>
      <w:bookmarkStart w:id="33" w:name="item_12_security_ownership_certain_benef"/>
      <w:bookmarkEnd w:id="33"/>
      <w:r>
        <w:rPr>
          <w:rFonts w:ascii="Times New Roman" w:hAnsi="Times New Roman"/>
          <w:b/>
          <w:sz w:val="20"/>
        </w:rPr>
        <w:t>Item 12. Security Ownership of Certain Beneficial Owners and Management and Related Stockholder Matters.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Information required by this item will be contained in our definitive proxy statement to be filed with the SEC on Schedule 14A to be filed within 120 days after December 31, 2021, and is incorporated herein by reference.</w:t>
      </w:r>
    </w:p>
    <w:p>
      <w:pPr>
        <w:pStyle w:val="TextBody"/>
        <w:spacing w:lineRule="auto" w:line="273" w:before="360" w:after="0"/>
        <w:jc w:val="left"/>
        <w:rPr>
          <w:rFonts w:ascii="Times New Roman" w:hAnsi="Times New Roman"/>
          <w:sz w:val="20"/>
        </w:rPr>
      </w:pPr>
      <w:bookmarkStart w:id="34" w:name="item_13_certain_relationships_related_tr"/>
      <w:bookmarkEnd w:id="34"/>
      <w:r>
        <w:rPr>
          <w:rFonts w:ascii="Times New Roman" w:hAnsi="Times New Roman"/>
          <w:b/>
          <w:sz w:val="20"/>
        </w:rPr>
        <w:t>Item 13. Certain Relationships and Related Transactions, and Director Independence.</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Information required by this item will be contained in our definitive proxy statement to be filed with the SEC on Schedule 14A to be filed within 120 days after December 31, 2021, and is incorporated herein by reference.</w:t>
      </w:r>
    </w:p>
    <w:p>
      <w:pPr>
        <w:pStyle w:val="TextBody"/>
        <w:spacing w:lineRule="auto" w:line="273" w:before="360" w:after="0"/>
        <w:jc w:val="left"/>
        <w:rPr>
          <w:rFonts w:ascii="Times New Roman" w:hAnsi="Times New Roman"/>
          <w:sz w:val="20"/>
        </w:rPr>
      </w:pPr>
      <w:bookmarkStart w:id="35" w:name="item_14_principal_accounting_fees_servic"/>
      <w:bookmarkEnd w:id="35"/>
      <w:r>
        <w:rPr>
          <w:rFonts w:ascii="Times New Roman" w:hAnsi="Times New Roman"/>
          <w:b/>
          <w:sz w:val="20"/>
        </w:rPr>
        <w:t>Item 14. Principal Accounting Fees and Services.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Information required by this item will be contained in our definitive proxy statement to be filed with the SEC on Schedule 14A to be filed within 120 days after December 31, 2021, and is incorporated herein by reference.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bookmarkStart w:id="36" w:name="part_iv"/>
      <w:bookmarkEnd w:id="36"/>
      <w:r>
        <w:rPr>
          <w:rFonts w:ascii="Times New Roman" w:hAnsi="Times New Roman"/>
          <w:b/>
          <w:sz w:val="20"/>
        </w:rPr>
        <w:t>PART IV</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bookmarkStart w:id="37" w:name="item_15_exhibits_financial_statement_sch"/>
      <w:bookmarkEnd w:id="37"/>
      <w:r>
        <w:rPr>
          <w:rFonts w:ascii="Times New Roman" w:hAnsi="Times New Roman"/>
          <w:b/>
          <w:sz w:val="20"/>
        </w:rPr>
        <w:t>Item 15. Exhibits, Financial Statement Schedules.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documents are filed as part of this Annual Report on Form 10-K:</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Financial Statements: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following financial statements and schedules of the Registrant are contained in Part II, Item 8, “Financial Statements and Supplementary Data” of this Annual Report on Form 10-K:</w:t>
      </w:r>
    </w:p>
    <w:p>
      <w:pPr>
        <w:pStyle w:val="TextBody"/>
        <w:spacing w:lineRule="auto" w:line="273" w:before="0" w:after="0"/>
        <w:jc w:val="left"/>
        <w:rPr/>
      </w:pPr>
      <w:r>
        <w:rPr/>
        <w:t> </w:t>
      </w:r>
    </w:p>
    <w:tbl>
      <w:tblPr>
        <w:tblW w:w="9077" w:type="dxa"/>
        <w:jc w:val="left"/>
        <w:tblInd w:w="0" w:type="dxa"/>
        <w:tblCellMar>
          <w:top w:w="28" w:type="dxa"/>
          <w:left w:w="28" w:type="dxa"/>
          <w:bottom w:w="28" w:type="dxa"/>
          <w:right w:w="28" w:type="dxa"/>
        </w:tblCellMar>
      </w:tblPr>
      <w:tblGrid>
        <w:gridCol w:w="8536"/>
        <w:gridCol w:w="541"/>
      </w:tblGrid>
      <w:tr>
        <w:trPr/>
        <w:tc>
          <w:tcPr>
            <w:tcW w:w="853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r>
      <w:tr>
        <w:trPr/>
        <w:tc>
          <w:tcPr>
            <w:tcW w:w="8536" w:type="dxa"/>
            <w:tcBorders/>
            <w:shd w:fill="auto" w:val="clear"/>
            <w:vAlign w:val="center"/>
          </w:tcPr>
          <w:p>
            <w:pPr>
              <w:pStyle w:val="TableContents"/>
              <w:spacing w:lineRule="auto" w:line="252" w:before="0" w:after="0"/>
              <w:ind w:left="0" w:right="0" w:hanging="0"/>
              <w:jc w:val="left"/>
              <w:rPr/>
            </w:pPr>
            <w:r>
              <w:rPr/>
              <w:t> </w:t>
            </w:r>
          </w:p>
        </w:tc>
        <w:tc>
          <w:tcPr>
            <w:tcW w:w="54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Page</w:t>
            </w:r>
          </w:p>
        </w:tc>
      </w:tr>
      <w:tr>
        <w:trPr/>
        <w:tc>
          <w:tcPr>
            <w:tcW w:w="8536" w:type="dxa"/>
            <w:tcBorders/>
            <w:shd w:fill="auto" w:val="clear"/>
            <w:vAlign w:val="center"/>
          </w:tcPr>
          <w:p>
            <w:pPr>
              <w:pStyle w:val="TableContents"/>
              <w:spacing w:lineRule="auto" w:line="252" w:before="0" w:after="0"/>
              <w:ind w:left="0" w:right="0" w:hanging="0"/>
              <w:jc w:val="left"/>
              <w:rPr/>
            </w:pPr>
            <w:hyperlink w:anchor="report_of_independent">
              <w:r>
                <w:rPr>
                  <w:rStyle w:val="InternetLink"/>
                  <w:rFonts w:ascii="Times New Roman" w:hAnsi="Times New Roman"/>
                  <w:b w:val="false"/>
                  <w:sz w:val="20"/>
                  <w:u w:val="single"/>
                </w:rPr>
                <w:t>Report of Independent Registered Public Accounting Firm</w:t>
              </w:r>
            </w:hyperlink>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balance_sheets">
              <w:r>
                <w:rPr>
                  <w:rStyle w:val="InternetLink"/>
                  <w:rFonts w:ascii="Times New Roman" w:hAnsi="Times New Roman"/>
                  <w:b w:val="false"/>
                  <w:sz w:val="20"/>
                  <w:u w:val="single"/>
                </w:rPr>
                <w:t>Consolidated Balance Sheets</w:t>
              </w:r>
            </w:hyperlink>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statements_operations">
              <w:r>
                <w:rPr>
                  <w:rStyle w:val="InternetLink"/>
                  <w:rFonts w:ascii="Times New Roman" w:hAnsi="Times New Roman"/>
                  <w:b w:val="false"/>
                  <w:sz w:val="20"/>
                  <w:u w:val="single"/>
                </w:rPr>
                <w:t>Consolidated Statements of Operations</w:t>
              </w:r>
            </w:hyperlink>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statements_comprehensive_lo">
              <w:r>
                <w:rPr>
                  <w:rStyle w:val="InternetLink"/>
                  <w:rFonts w:ascii="Times New Roman" w:hAnsi="Times New Roman"/>
                  <w:b w:val="false"/>
                  <w:sz w:val="20"/>
                  <w:u w:val="single"/>
                </w:rPr>
                <w:t>Consolidated Statements of Comprehensive Loss</w:t>
              </w:r>
            </w:hyperlink>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94</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statements_stockhoders_equi">
              <w:r>
                <w:rPr>
                  <w:rStyle w:val="InternetLink"/>
                  <w:rFonts w:ascii="Times New Roman" w:hAnsi="Times New Roman"/>
                  <w:b w:val="false"/>
                  <w:sz w:val="20"/>
                  <w:u w:val="single"/>
                </w:rPr>
                <w:t>Consolidated Statements of Redeemable Convertible Preferred Stock and Stockholders’ Equity (Deficit</w:t>
              </w:r>
            </w:hyperlink>
            <w:r>
              <w:rPr>
                <w:rFonts w:ascii="Times New Roman" w:hAnsi="Times New Roman"/>
                <w:b w:val="false"/>
                <w:sz w:val="20"/>
                <w:u w:val="single"/>
              </w:rPr>
              <w:t>)</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95</w:t>
            </w:r>
          </w:p>
        </w:tc>
      </w:tr>
      <w:tr>
        <w:trPr/>
        <w:tc>
          <w:tcPr>
            <w:tcW w:w="8536" w:type="dxa"/>
            <w:tcBorders/>
            <w:shd w:fill="auto" w:val="clear"/>
            <w:vAlign w:val="center"/>
          </w:tcPr>
          <w:p>
            <w:pPr>
              <w:pStyle w:val="TableContents"/>
              <w:spacing w:lineRule="auto" w:line="252" w:before="0" w:after="0"/>
              <w:ind w:left="0" w:right="0" w:hanging="0"/>
              <w:jc w:val="left"/>
              <w:rPr/>
            </w:pPr>
            <w:hyperlink w:anchor="consolidated_statements_cash_flows">
              <w:r>
                <w:rPr>
                  <w:rStyle w:val="InternetLink"/>
                  <w:rFonts w:ascii="Times New Roman" w:hAnsi="Times New Roman"/>
                  <w:b w:val="false"/>
                  <w:sz w:val="20"/>
                  <w:u w:val="single"/>
                </w:rPr>
                <w:t>Consolidated Statements of Cash Flows</w:t>
              </w:r>
            </w:hyperlink>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w:t>
            </w:r>
          </w:p>
        </w:tc>
      </w:tr>
      <w:tr>
        <w:trPr/>
        <w:tc>
          <w:tcPr>
            <w:tcW w:w="8536" w:type="dxa"/>
            <w:tcBorders/>
            <w:shd w:fill="auto" w:val="clear"/>
            <w:vAlign w:val="center"/>
          </w:tcPr>
          <w:p>
            <w:pPr>
              <w:pStyle w:val="TableContents"/>
              <w:spacing w:lineRule="auto" w:line="252" w:before="0" w:after="0"/>
              <w:ind w:left="0" w:right="0" w:hanging="0"/>
              <w:jc w:val="left"/>
              <w:rPr/>
            </w:pPr>
            <w:hyperlink w:anchor="notes_to_consolidated_financial_statemen">
              <w:r>
                <w:rPr>
                  <w:rStyle w:val="InternetLink"/>
                  <w:rFonts w:ascii="Times New Roman" w:hAnsi="Times New Roman"/>
                  <w:b w:val="false"/>
                  <w:sz w:val="20"/>
                  <w:u w:val="single"/>
                </w:rPr>
                <w:t>Notes to Consolidated Financial Statements</w:t>
              </w:r>
            </w:hyperlink>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97</w:t>
            </w:r>
          </w:p>
        </w:tc>
      </w:tr>
    </w:tbl>
    <w:p>
      <w:pPr>
        <w:pStyle w:val="TextBody"/>
        <w:spacing w:lineRule="auto" w:line="273" w:before="0" w:after="0"/>
        <w:jc w:val="left"/>
        <w:rPr/>
      </w:pPr>
      <w:r>
        <w:rPr/>
        <w:t> </w:t>
      </w:r>
    </w:p>
    <w:p>
      <w:pPr>
        <w:pStyle w:val="TextBody"/>
        <w:spacing w:lineRule="auto" w:line="273" w:before="8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80" w:after="283"/>
        <w:jc w:val="left"/>
        <w:rPr>
          <w:rFonts w:ascii="Times New Roman" w:hAnsi="Times New Roman"/>
          <w:b w:val="false"/>
          <w:sz w:val="20"/>
        </w:rPr>
      </w:pPr>
      <w:r>
        <w:rPr>
          <w:rFonts w:ascii="Times New Roman" w:hAnsi="Times New Roman"/>
          <w:b w:val="false"/>
          <w:sz w:val="20"/>
        </w:rPr>
        <w:t>Financial Statement Schedules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No financial statement schedules are provided because the information called for is not required or is shown either in the financial statements or notes thereto.</w:t>
      </w:r>
    </w:p>
    <w:p>
      <w:pPr>
        <w:pStyle w:val="TextBody"/>
        <w:spacing w:lineRule="auto" w:line="273" w:before="36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360" w:after="283"/>
        <w:jc w:val="left"/>
        <w:rPr>
          <w:rFonts w:ascii="Times New Roman" w:hAnsi="Times New Roman"/>
          <w:b w:val="false"/>
          <w:sz w:val="20"/>
        </w:rPr>
      </w:pPr>
      <w:r>
        <w:rPr>
          <w:rFonts w:ascii="Times New Roman" w:hAnsi="Times New Roman"/>
          <w:b w:val="false"/>
          <w:sz w:val="20"/>
        </w:rPr>
        <w:t>Exhibits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exhibits listed in the following “Exhibit Index” are filed, furnished or incorporated by reference as part of this Annual Report.</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120</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Exhibit Index</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781"/>
        <w:gridCol w:w="146"/>
        <w:gridCol w:w="5476"/>
        <w:gridCol w:w="146"/>
        <w:gridCol w:w="586"/>
        <w:gridCol w:w="146"/>
        <w:gridCol w:w="657"/>
        <w:gridCol w:w="146"/>
        <w:gridCol w:w="796"/>
        <w:gridCol w:w="146"/>
        <w:gridCol w:w="841"/>
        <w:gridCol w:w="146"/>
        <w:gridCol w:w="192"/>
      </w:tblGrid>
      <w:tr>
        <w:trPr/>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92" w:type="dxa"/>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31" w:type="dxa"/>
            <w:gridSpan w:val="5"/>
            <w:tcBorders>
              <w:bottom w:val="single" w:sz="6" w:space="0" w:color="000000"/>
            </w:tcBorders>
            <w:shd w:fill="auto" w:val="clear"/>
            <w:tcMar>
              <w:top w:w="0" w:type="dxa"/>
              <w:left w:w="0" w:type="dxa"/>
              <w:right w:w="0" w:type="dxa"/>
            </w:tcMar>
            <w:vAlign w:val="center"/>
          </w:tcPr>
          <w:p>
            <w:pPr>
              <w:pStyle w:val="TableContents"/>
              <w:spacing w:lineRule="auto" w:line="252" w:before="0" w:after="15"/>
              <w:ind w:left="0" w:right="0" w:hanging="0"/>
              <w:jc w:val="center"/>
              <w:rPr>
                <w:rFonts w:ascii="Times New Roman" w:hAnsi="Times New Roman"/>
                <w:b/>
                <w:sz w:val="20"/>
              </w:rPr>
            </w:pPr>
            <w:r>
              <w:rPr>
                <w:rFonts w:ascii="Times New Roman" w:hAnsi="Times New Roman"/>
                <w:b/>
                <w:sz w:val="20"/>
              </w:rPr>
              <w:t>Incorporated by reference</w:t>
            </w:r>
          </w:p>
        </w:tc>
        <w:tc>
          <w:tcPr>
            <w:tcW w:w="146" w:type="dxa"/>
            <w:vMerge w:val="restart"/>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41" w:type="dxa"/>
            <w:vMerge w:val="restart"/>
            <w:tcBorders>
              <w:bottom w:val="single" w:sz="6" w:space="0" w:color="000000"/>
            </w:tcBorders>
            <w:shd w:fill="auto" w:val="clear"/>
            <w:tcMar>
              <w:top w:w="0" w:type="dxa"/>
              <w:left w:w="0" w:type="dxa"/>
              <w:right w:w="0" w:type="dxa"/>
            </w:tcMar>
            <w:vAlign w:val="center"/>
          </w:tcPr>
          <w:p>
            <w:pPr>
              <w:pStyle w:val="TableContents"/>
              <w:spacing w:lineRule="auto" w:line="252" w:before="0" w:after="15"/>
              <w:ind w:left="0" w:right="0" w:hanging="0"/>
              <w:jc w:val="center"/>
              <w:rPr>
                <w:rFonts w:ascii="Times New Roman" w:hAnsi="Times New Roman"/>
                <w:b/>
                <w:sz w:val="20"/>
              </w:rPr>
            </w:pPr>
            <w:r>
              <w:rPr>
                <w:rFonts w:ascii="Times New Roman" w:hAnsi="Times New Roman"/>
                <w:b/>
                <w:sz w:val="20"/>
              </w:rPr>
              <w:t>Filed</w:t>
              <w:br/>
              <w:t>herewith</w:t>
            </w:r>
          </w:p>
        </w:tc>
        <w:tc>
          <w:tcPr>
            <w:tcW w:w="146" w:type="dxa"/>
            <w:tcBorders/>
            <w:shd w:fill="auto" w:val="clear"/>
          </w:tcPr>
          <w:p>
            <w:pPr>
              <w:pStyle w:val="TableContents"/>
              <w:spacing w:before="0" w:after="283"/>
              <w:rPr>
                <w:sz w:val="4"/>
                <w:szCs w:val="4"/>
              </w:rPr>
            </w:pPr>
            <w:r>
              <w:rPr>
                <w:sz w:val="4"/>
                <w:szCs w:val="4"/>
              </w:rPr>
            </w:r>
          </w:p>
        </w:tc>
        <w:tc>
          <w:tcPr>
            <w:tcW w:w="192" w:type="dxa"/>
            <w:tcBorders/>
            <w:shd w:fill="auto" w:val="clear"/>
          </w:tcPr>
          <w:p>
            <w:pPr>
              <w:pStyle w:val="TableContents"/>
              <w:spacing w:before="0" w:after="283"/>
              <w:rPr>
                <w:sz w:val="4"/>
                <w:szCs w:val="4"/>
              </w:rPr>
            </w:pPr>
            <w:r>
              <w:rPr>
                <w:sz w:val="4"/>
                <w:szCs w:val="4"/>
              </w:rPr>
            </w:r>
          </w:p>
        </w:tc>
      </w:tr>
      <w:tr>
        <w:trPr/>
        <w:tc>
          <w:tcPr>
            <w:tcW w:w="78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Exhibit</w:t>
              <w:br/>
              <w:t>number</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7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Exhibit description</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Form</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57"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Date</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9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Number</w:t>
            </w:r>
          </w:p>
        </w:tc>
        <w:tc>
          <w:tcPr>
            <w:tcW w:w="146" w:type="dxa"/>
            <w:vMerge w:val="continue"/>
            <w:tcBorders>
              <w:bottom w:val="single" w:sz="6" w:space="0" w:color="000000"/>
            </w:tcBorders>
            <w:shd w:fill="auto" w:val="clear"/>
            <w:tcMar>
              <w:top w:w="0" w:type="dxa"/>
              <w:left w:w="0" w:type="dxa"/>
              <w:right w:w="0" w:type="dxa"/>
            </w:tcMar>
            <w:vAlign w:val="center"/>
          </w:tcPr>
          <w:p>
            <w:pPr>
              <w:pStyle w:val="Normal"/>
              <w:rPr/>
            </w:pPr>
            <w:r>
              <w:rPr/>
            </w:r>
          </w:p>
        </w:tc>
        <w:tc>
          <w:tcPr>
            <w:tcW w:w="841" w:type="dxa"/>
            <w:vMerge w:val="continue"/>
            <w:tcBorders>
              <w:bottom w:val="single" w:sz="6" w:space="0" w:color="000000"/>
            </w:tcBorders>
            <w:shd w:fill="auto" w:val="clear"/>
            <w:tcMar>
              <w:top w:w="0" w:type="dxa"/>
              <w:left w:w="0" w:type="dxa"/>
              <w:right w:w="0" w:type="dxa"/>
            </w:tcMar>
            <w:vAlign w:val="center"/>
          </w:tcPr>
          <w:p>
            <w:pPr>
              <w:pStyle w:val="Normal"/>
              <w:rPr/>
            </w:pPr>
            <w:r>
              <w:rPr/>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2"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hyperlink r:id="rId11">
              <w:r>
                <w:rPr>
                  <w:rStyle w:val="InternetLink"/>
                  <w:rFonts w:ascii="Times New Roman" w:hAnsi="Times New Roman"/>
                  <w:b w:val="false"/>
                  <w:sz w:val="20"/>
                  <w:u w:val="single"/>
                </w:rPr>
                <w:t>Amended and Restated Certificate of Incorporation.</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2/18/2020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562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hyperlink r:id="rId12">
              <w:r>
                <w:rPr>
                  <w:rStyle w:val="InternetLink"/>
                  <w:rFonts w:ascii="Times New Roman" w:hAnsi="Times New Roman"/>
                  <w:b w:val="false"/>
                  <w:sz w:val="20"/>
                  <w:u w:val="single"/>
                </w:rPr>
                <w:t>Amended and Restated Bylaws.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3/8/2021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562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r>
              <w:rPr>
                <w:rFonts w:ascii="Times New Roman" w:hAnsi="Times New Roman"/>
                <w:b w:val="false"/>
                <w:sz w:val="20"/>
              </w:rPr>
              <w:t xml:space="preserve">Reference is made to Exhibits </w:t>
            </w:r>
            <w:hyperlink r:id="rId13">
              <w:r>
                <w:rPr>
                  <w:rStyle w:val="InternetLink"/>
                  <w:rFonts w:ascii="Times New Roman" w:hAnsi="Times New Roman"/>
                  <w:b w:val="false"/>
                  <w:sz w:val="20"/>
                  <w:u w:val="single"/>
                </w:rPr>
                <w:t>3.1</w:t>
              </w:r>
            </w:hyperlink>
            <w:r>
              <w:rPr>
                <w:rFonts w:ascii="Times New Roman" w:hAnsi="Times New Roman"/>
                <w:sz w:val="20"/>
              </w:rPr>
              <w:t> </w:t>
            </w:r>
            <w:r>
              <w:rPr>
                <w:rFonts w:ascii="Times New Roman" w:hAnsi="Times New Roman"/>
                <w:b w:val="false"/>
                <w:sz w:val="20"/>
              </w:rPr>
              <w:t xml:space="preserve">through </w:t>
            </w:r>
            <w:hyperlink r:id="rId14">
              <w:r>
                <w:rPr>
                  <w:rStyle w:val="InternetLink"/>
                  <w:rFonts w:ascii="Times New Roman" w:hAnsi="Times New Roman"/>
                  <w:b w:val="false"/>
                  <w:sz w:val="20"/>
                  <w:u w:val="single"/>
                </w:rPr>
                <w:t>3.2.</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562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hyperlink r:id="rId15">
              <w:r>
                <w:rPr>
                  <w:rStyle w:val="InternetLink"/>
                  <w:rFonts w:ascii="Times New Roman" w:hAnsi="Times New Roman"/>
                  <w:b w:val="false"/>
                  <w:sz w:val="20"/>
                  <w:u w:val="single"/>
                </w:rPr>
                <w:t>Form of Common Stock Certificate.</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4.2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hyperlink w:anchor="rvmd-ex4_3.htm">
              <w:r>
                <w:rPr>
                  <w:rStyle w:val="InternetLink"/>
                  <w:rFonts w:ascii="Times New Roman" w:hAnsi="Times New Roman"/>
                  <w:b w:val="false"/>
                  <w:sz w:val="20"/>
                  <w:u w:val="single"/>
                </w:rPr>
                <w:t>Description of Common Stock.</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562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hyperlink r:id="rId16">
              <w:r>
                <w:rPr>
                  <w:rStyle w:val="InternetLink"/>
                  <w:rFonts w:ascii="Times New Roman" w:hAnsi="Times New Roman"/>
                  <w:b w:val="false"/>
                  <w:sz w:val="20"/>
                  <w:u w:val="single"/>
                </w:rPr>
                <w:t>Collaborative Research, Development and Commercialization Agreement, dated as of June 8, 2018, by and between Revolution Medicines, Inc. and Aventis, Inc., as amended.</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562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hyperlink r:id="rId17">
              <w:r>
                <w:rPr>
                  <w:rStyle w:val="InternetLink"/>
                  <w:rFonts w:ascii="Times New Roman" w:hAnsi="Times New Roman"/>
                  <w:b w:val="false"/>
                  <w:sz w:val="20"/>
                  <w:u w:val="single"/>
                </w:rPr>
                <w:t>Letter Agreement and Amendment, dated as of August 5, 2021 by and between Revolution Medicines, Inc. and Genzyme Corporation.</w:t>
              </w:r>
            </w:hyperlink>
          </w:p>
        </w:tc>
        <w:tc>
          <w:tcPr>
            <w:tcW w:w="146" w:type="dxa"/>
            <w:tcBorders/>
            <w:shd w:fill="auto" w:val="clear"/>
            <w:vAlign w:val="center"/>
          </w:tcPr>
          <w:p>
            <w:pPr>
              <w:pStyle w:val="TableContents"/>
              <w:spacing w:lineRule="auto" w:line="252" w:before="0" w:after="0"/>
              <w:ind w:left="0" w:right="0" w:hanging="0"/>
              <w:jc w:val="center"/>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10-Q</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57"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8/11/2021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10.2</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562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hyperlink r:id="rId18">
              <w:r>
                <w:rPr>
                  <w:rStyle w:val="InternetLink"/>
                  <w:rFonts w:ascii="Times New Roman" w:hAnsi="Times New Roman"/>
                  <w:b w:val="false"/>
                  <w:sz w:val="20"/>
                  <w:u w:val="single"/>
                </w:rPr>
                <w:t>Amended and Restated Investors’ Rights Agreement, dated as of June 5, 2019, by and among Revolution Medicines, Inc. and the investors listed therein.</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pPr>
            <w:r>
              <w:rPr/>
              <w:t> </w:t>
            </w:r>
          </w:p>
        </w:tc>
        <w:tc>
          <w:tcPr>
            <w:tcW w:w="562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03"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10.3A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76" w:type="dxa"/>
            <w:tcBorders/>
            <w:shd w:fill="auto" w:val="clear"/>
            <w:vAlign w:val="center"/>
          </w:tcPr>
          <w:p>
            <w:pPr>
              <w:pStyle w:val="TableContents"/>
              <w:spacing w:lineRule="auto" w:line="252" w:before="0" w:after="0"/>
              <w:ind w:left="0" w:right="0" w:hanging="0"/>
              <w:jc w:val="left"/>
              <w:rPr/>
            </w:pPr>
            <w:hyperlink r:id="rId19">
              <w:r>
                <w:rPr>
                  <w:rStyle w:val="InternetLink"/>
                  <w:rFonts w:ascii="Times New Roman" w:hAnsi="Times New Roman"/>
                  <w:b w:val="false"/>
                  <w:sz w:val="20"/>
                  <w:u w:val="single"/>
                </w:rPr>
                <w:t>Lease between HCP LS Redwood City, LLC and Revolution Medicines, Inc., dated as of January 15, 2015.</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57"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10.3A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9867" w:type="dxa"/>
            <w:gridSpan w:val="11"/>
            <w:tcBorders/>
            <w:shd w:fill="auto" w:val="clear"/>
            <w:vAlign w:val="center"/>
          </w:tcPr>
          <w:p>
            <w:pPr>
              <w:pStyle w:val="TableContents"/>
              <w:pBdr>
                <w:bottom w:val="single" w:sz="6" w:space="1" w:color="000000"/>
              </w:pBdr>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121</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790"/>
        <w:gridCol w:w="146"/>
        <w:gridCol w:w="5431"/>
        <w:gridCol w:w="146"/>
        <w:gridCol w:w="586"/>
        <w:gridCol w:w="146"/>
        <w:gridCol w:w="693"/>
        <w:gridCol w:w="146"/>
        <w:gridCol w:w="796"/>
        <w:gridCol w:w="146"/>
        <w:gridCol w:w="841"/>
        <w:gridCol w:w="146"/>
        <w:gridCol w:w="192"/>
      </w:tblGrid>
      <w:tr>
        <w:trPr/>
        <w:tc>
          <w:tcPr>
            <w:tcW w:w="7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92" w:type="dxa"/>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7" w:type="dxa"/>
            <w:gridSpan w:val="5"/>
            <w:tcBorders>
              <w:bottom w:val="single" w:sz="6" w:space="0" w:color="000000"/>
            </w:tcBorders>
            <w:shd w:fill="auto" w:val="clear"/>
            <w:tcMar>
              <w:top w:w="0" w:type="dxa"/>
              <w:left w:w="0" w:type="dxa"/>
              <w:right w:w="0" w:type="dxa"/>
            </w:tcMar>
            <w:vAlign w:val="center"/>
          </w:tcPr>
          <w:p>
            <w:pPr>
              <w:pStyle w:val="TableContents"/>
              <w:spacing w:lineRule="auto" w:line="252" w:before="0" w:after="15"/>
              <w:ind w:left="0" w:right="0" w:hanging="0"/>
              <w:jc w:val="center"/>
              <w:rPr>
                <w:rFonts w:ascii="Times New Roman" w:hAnsi="Times New Roman"/>
                <w:b/>
                <w:sz w:val="20"/>
              </w:rPr>
            </w:pPr>
            <w:r>
              <w:rPr>
                <w:rFonts w:ascii="Times New Roman" w:hAnsi="Times New Roman"/>
                <w:b/>
                <w:sz w:val="20"/>
              </w:rPr>
              <w:t>Incorporated by reference</w:t>
            </w:r>
          </w:p>
        </w:tc>
        <w:tc>
          <w:tcPr>
            <w:tcW w:w="146" w:type="dxa"/>
            <w:vMerge w:val="restart"/>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vMerge w:val="restart"/>
            <w:tcBorders>
              <w:bottom w:val="single" w:sz="6" w:space="0" w:color="000000"/>
            </w:tcBorders>
            <w:shd w:fill="auto" w:val="clear"/>
            <w:tcMar>
              <w:top w:w="0" w:type="dxa"/>
              <w:left w:w="0" w:type="dxa"/>
              <w:right w:w="0" w:type="dxa"/>
            </w:tcMar>
            <w:vAlign w:val="center"/>
          </w:tcPr>
          <w:p>
            <w:pPr>
              <w:pStyle w:val="TableContents"/>
              <w:spacing w:lineRule="auto" w:line="252" w:before="0" w:after="15"/>
              <w:ind w:left="0" w:right="0" w:hanging="0"/>
              <w:jc w:val="center"/>
              <w:rPr>
                <w:rFonts w:ascii="Times New Roman" w:hAnsi="Times New Roman"/>
                <w:b/>
                <w:sz w:val="20"/>
              </w:rPr>
            </w:pPr>
            <w:r>
              <w:rPr>
                <w:rFonts w:ascii="Times New Roman" w:hAnsi="Times New Roman"/>
                <w:b/>
                <w:sz w:val="20"/>
              </w:rPr>
              <w:t>Filed</w:t>
              <w:br/>
              <w:t>herewith</w:t>
            </w:r>
          </w:p>
        </w:tc>
        <w:tc>
          <w:tcPr>
            <w:tcW w:w="146" w:type="dxa"/>
            <w:tcBorders/>
            <w:shd w:fill="auto" w:val="clear"/>
          </w:tcPr>
          <w:p>
            <w:pPr>
              <w:pStyle w:val="TableContents"/>
              <w:spacing w:before="0" w:after="283"/>
              <w:rPr>
                <w:sz w:val="4"/>
                <w:szCs w:val="4"/>
              </w:rPr>
            </w:pPr>
            <w:r>
              <w:rPr>
                <w:sz w:val="4"/>
                <w:szCs w:val="4"/>
              </w:rPr>
            </w:r>
          </w:p>
        </w:tc>
        <w:tc>
          <w:tcPr>
            <w:tcW w:w="192" w:type="dxa"/>
            <w:tcBorders/>
            <w:shd w:fill="auto" w:val="clear"/>
          </w:tcPr>
          <w:p>
            <w:pPr>
              <w:pStyle w:val="TableContents"/>
              <w:spacing w:before="0" w:after="283"/>
              <w:rPr>
                <w:sz w:val="4"/>
                <w:szCs w:val="4"/>
              </w:rPr>
            </w:pPr>
            <w:r>
              <w:rPr>
                <w:sz w:val="4"/>
                <w:szCs w:val="4"/>
              </w:rPr>
            </w:r>
          </w:p>
        </w:tc>
      </w:tr>
      <w:tr>
        <w:trPr/>
        <w:tc>
          <w:tcPr>
            <w:tcW w:w="790"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Exhibit</w:t>
              <w:br/>
              <w:t>number</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3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Exhibit description</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Form</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3"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Date</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sz w:val="20"/>
              </w:rPr>
            </w:pPr>
            <w:r>
              <w:rPr>
                <w:rFonts w:ascii="Times New Roman" w:hAnsi="Times New Roman"/>
                <w:b/>
                <w:sz w:val="20"/>
              </w:rPr>
              <w:t>Number</w:t>
            </w:r>
          </w:p>
        </w:tc>
        <w:tc>
          <w:tcPr>
            <w:tcW w:w="146" w:type="dxa"/>
            <w:vMerge w:val="continue"/>
            <w:tcBorders>
              <w:bottom w:val="single" w:sz="6" w:space="0" w:color="000000"/>
            </w:tcBorders>
            <w:shd w:fill="auto" w:val="clear"/>
            <w:tcMar>
              <w:top w:w="0" w:type="dxa"/>
              <w:left w:w="0" w:type="dxa"/>
              <w:right w:w="0" w:type="dxa"/>
            </w:tcMar>
            <w:vAlign w:val="center"/>
          </w:tcPr>
          <w:p>
            <w:pPr>
              <w:pStyle w:val="Normal"/>
              <w:rPr/>
            </w:pPr>
            <w:r>
              <w:rPr/>
            </w:r>
          </w:p>
        </w:tc>
        <w:tc>
          <w:tcPr>
            <w:tcW w:w="841" w:type="dxa"/>
            <w:vMerge w:val="continue"/>
            <w:tcBorders>
              <w:bottom w:val="single" w:sz="6" w:space="0" w:color="000000"/>
            </w:tcBorders>
            <w:shd w:fill="auto" w:val="clear"/>
            <w:tcMar>
              <w:top w:w="0" w:type="dxa"/>
              <w:left w:w="0" w:type="dxa"/>
              <w:right w:w="0" w:type="dxa"/>
            </w:tcMar>
            <w:vAlign w:val="center"/>
          </w:tcPr>
          <w:p>
            <w:pPr>
              <w:pStyle w:val="Normal"/>
              <w:rPr/>
            </w:pPr>
            <w:r>
              <w:rPr/>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2"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10.3B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20">
              <w:r>
                <w:rPr>
                  <w:rStyle w:val="InternetLink"/>
                  <w:rFonts w:ascii="Times New Roman" w:hAnsi="Times New Roman"/>
                  <w:b w:val="false"/>
                  <w:sz w:val="20"/>
                  <w:u w:val="single"/>
                </w:rPr>
                <w:t>First Amendment to Lease by and between HCP LS Redwood City, LLC and Revolution Medicines, Inc., dated as of September 16, 2016.</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10.3B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10.3C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21">
              <w:r>
                <w:rPr>
                  <w:rStyle w:val="InternetLink"/>
                  <w:rFonts w:ascii="Times New Roman" w:hAnsi="Times New Roman"/>
                  <w:b w:val="false"/>
                  <w:sz w:val="20"/>
                  <w:u w:val="single"/>
                </w:rPr>
                <w:t>Sublease between OncoMed Pharmaceuticals, Inc. and Revolution Medicines, Inc., dated as of January 16, 2019.</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10.3C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vMerge w:val="restart"/>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10.3D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vMerge w:val="restart"/>
            <w:tcBorders/>
            <w:shd w:fill="auto" w:val="clear"/>
            <w:vAlign w:val="center"/>
          </w:tcPr>
          <w:p>
            <w:pPr>
              <w:pStyle w:val="TableContents"/>
              <w:spacing w:lineRule="auto" w:line="252" w:before="0" w:after="0"/>
              <w:ind w:left="0" w:right="0" w:hanging="0"/>
              <w:jc w:val="left"/>
              <w:rPr/>
            </w:pPr>
            <w:hyperlink r:id="rId22">
              <w:r>
                <w:rPr>
                  <w:rStyle w:val="InternetLink"/>
                  <w:rFonts w:ascii="Times New Roman" w:hAnsi="Times New Roman"/>
                  <w:b w:val="false"/>
                  <w:sz w:val="20"/>
                  <w:u w:val="single"/>
                </w:rPr>
                <w:t>Second Amendment to Lease by and between HCP LS Redwood City, LLC and Revolution Medicines, Inc., dated as of April 17, 2020</w:t>
              </w:r>
            </w:hyperlink>
          </w:p>
        </w:tc>
        <w:tc>
          <w:tcPr>
            <w:tcW w:w="146" w:type="dxa"/>
            <w:vMerge w:val="restart"/>
            <w:tcBorders/>
            <w:shd w:fill="auto" w:val="clear"/>
            <w:vAlign w:val="center"/>
          </w:tcPr>
          <w:p>
            <w:pPr>
              <w:pStyle w:val="TableContents"/>
              <w:spacing w:lineRule="auto" w:line="252" w:before="0" w:after="0"/>
              <w:ind w:left="0" w:right="0" w:hanging="0"/>
              <w:jc w:val="left"/>
              <w:rPr/>
            </w:pPr>
            <w:r>
              <w:rPr/>
              <w:t> </w:t>
            </w:r>
          </w:p>
        </w:tc>
        <w:tc>
          <w:tcPr>
            <w:tcW w:w="586" w:type="dxa"/>
            <w:vMerge w:val="restart"/>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10-Q</w:t>
            </w:r>
          </w:p>
        </w:tc>
        <w:tc>
          <w:tcPr>
            <w:tcW w:w="146" w:type="dxa"/>
            <w:vMerge w:val="restart"/>
            <w:tcBorders/>
            <w:shd w:fill="auto" w:val="clear"/>
            <w:vAlign w:val="center"/>
          </w:tcPr>
          <w:p>
            <w:pPr>
              <w:pStyle w:val="TableContents"/>
              <w:spacing w:lineRule="auto" w:line="252" w:before="0" w:after="0"/>
              <w:ind w:left="0" w:right="0" w:hanging="0"/>
              <w:jc w:val="left"/>
              <w:rPr/>
            </w:pPr>
            <w:r>
              <w:rPr/>
              <w:t> </w:t>
            </w:r>
          </w:p>
        </w:tc>
        <w:tc>
          <w:tcPr>
            <w:tcW w:w="693" w:type="dxa"/>
            <w:vMerge w:val="restart"/>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5/14/2020</w:t>
            </w:r>
          </w:p>
        </w:tc>
        <w:tc>
          <w:tcPr>
            <w:tcW w:w="146" w:type="dxa"/>
            <w:vMerge w:val="restart"/>
            <w:tcBorders/>
            <w:shd w:fill="auto" w:val="clear"/>
            <w:vAlign w:val="center"/>
          </w:tcPr>
          <w:p>
            <w:pPr>
              <w:pStyle w:val="TableContents"/>
              <w:spacing w:lineRule="auto" w:line="252" w:before="0" w:after="0"/>
              <w:ind w:left="0" w:right="0" w:hanging="0"/>
              <w:jc w:val="left"/>
              <w:rPr/>
            </w:pPr>
            <w:r>
              <w:rPr/>
              <w:t> </w:t>
            </w:r>
          </w:p>
        </w:tc>
        <w:tc>
          <w:tcPr>
            <w:tcW w:w="796" w:type="dxa"/>
            <w:vMerge w:val="restart"/>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10.4</w:t>
            </w:r>
          </w:p>
        </w:tc>
        <w:tc>
          <w:tcPr>
            <w:tcW w:w="146" w:type="dxa"/>
            <w:vMerge w:val="restart"/>
            <w:tcBorders/>
            <w:shd w:fill="auto" w:val="clear"/>
            <w:vAlign w:val="center"/>
          </w:tcPr>
          <w:p>
            <w:pPr>
              <w:pStyle w:val="TableContents"/>
              <w:spacing w:lineRule="auto" w:line="252" w:before="0" w:after="0"/>
              <w:ind w:left="0" w:right="0" w:hanging="0"/>
              <w:jc w:val="left"/>
              <w:rPr/>
            </w:pPr>
            <w:r>
              <w:rPr/>
              <w:t> </w:t>
            </w:r>
          </w:p>
        </w:tc>
        <w:tc>
          <w:tcPr>
            <w:tcW w:w="841" w:type="dxa"/>
            <w:vMerge w:val="restart"/>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vMerge w:val="continue"/>
            <w:tcBorders/>
            <w:shd w:fill="auto" w:val="clear"/>
            <w:vAlign w:val="center"/>
          </w:tcPr>
          <w:p>
            <w:pPr>
              <w:pStyle w:val="Normal"/>
              <w:rPr/>
            </w:pPr>
            <w:r>
              <w:rPr/>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vMerge w:val="continue"/>
            <w:tcBorders/>
            <w:shd w:fill="auto" w:val="clear"/>
            <w:vAlign w:val="center"/>
          </w:tcPr>
          <w:p>
            <w:pPr>
              <w:pStyle w:val="Normal"/>
              <w:rPr/>
            </w:pPr>
            <w:r>
              <w:rPr/>
            </w:r>
          </w:p>
        </w:tc>
        <w:tc>
          <w:tcPr>
            <w:tcW w:w="146" w:type="dxa"/>
            <w:vMerge w:val="continue"/>
            <w:tcBorders/>
            <w:shd w:fill="auto" w:val="clear"/>
            <w:vAlign w:val="center"/>
          </w:tcPr>
          <w:p>
            <w:pPr>
              <w:pStyle w:val="Normal"/>
              <w:rPr/>
            </w:pPr>
            <w:r>
              <w:rPr/>
            </w:r>
          </w:p>
        </w:tc>
        <w:tc>
          <w:tcPr>
            <w:tcW w:w="586" w:type="dxa"/>
            <w:vMerge w:val="continue"/>
            <w:tcBorders/>
            <w:shd w:fill="auto" w:val="clear"/>
            <w:vAlign w:val="center"/>
          </w:tcPr>
          <w:p>
            <w:pPr>
              <w:pStyle w:val="Normal"/>
              <w:rPr/>
            </w:pPr>
            <w:r>
              <w:rPr/>
            </w:r>
          </w:p>
        </w:tc>
        <w:tc>
          <w:tcPr>
            <w:tcW w:w="146" w:type="dxa"/>
            <w:vMerge w:val="continue"/>
            <w:tcBorders/>
            <w:shd w:fill="auto" w:val="clear"/>
            <w:vAlign w:val="center"/>
          </w:tcPr>
          <w:p>
            <w:pPr>
              <w:pStyle w:val="Normal"/>
              <w:rPr/>
            </w:pPr>
            <w:r>
              <w:rPr/>
            </w:r>
          </w:p>
        </w:tc>
        <w:tc>
          <w:tcPr>
            <w:tcW w:w="693" w:type="dxa"/>
            <w:vMerge w:val="continue"/>
            <w:tcBorders/>
            <w:shd w:fill="auto" w:val="clear"/>
            <w:vAlign w:val="center"/>
          </w:tcPr>
          <w:p>
            <w:pPr>
              <w:pStyle w:val="Normal"/>
              <w:rPr/>
            </w:pPr>
            <w:r>
              <w:rPr/>
            </w:r>
          </w:p>
        </w:tc>
        <w:tc>
          <w:tcPr>
            <w:tcW w:w="146" w:type="dxa"/>
            <w:vMerge w:val="continue"/>
            <w:tcBorders/>
            <w:shd w:fill="auto" w:val="clear"/>
            <w:vAlign w:val="center"/>
          </w:tcPr>
          <w:p>
            <w:pPr>
              <w:pStyle w:val="Normal"/>
              <w:rPr/>
            </w:pPr>
            <w:r>
              <w:rPr/>
            </w:r>
          </w:p>
        </w:tc>
        <w:tc>
          <w:tcPr>
            <w:tcW w:w="796" w:type="dxa"/>
            <w:vMerge w:val="continue"/>
            <w:tcBorders/>
            <w:shd w:fill="auto" w:val="clear"/>
            <w:vAlign w:val="center"/>
          </w:tcPr>
          <w:p>
            <w:pPr>
              <w:pStyle w:val="Normal"/>
              <w:rPr/>
            </w:pPr>
            <w:r>
              <w:rPr/>
            </w:r>
          </w:p>
        </w:tc>
        <w:tc>
          <w:tcPr>
            <w:tcW w:w="146" w:type="dxa"/>
            <w:vMerge w:val="continue"/>
            <w:tcBorders/>
            <w:shd w:fill="auto" w:val="clear"/>
            <w:vAlign w:val="center"/>
          </w:tcPr>
          <w:p>
            <w:pPr>
              <w:pStyle w:val="Normal"/>
              <w:rPr/>
            </w:pPr>
            <w:r>
              <w:rPr/>
            </w:r>
          </w:p>
        </w:tc>
        <w:tc>
          <w:tcPr>
            <w:tcW w:w="841" w:type="dxa"/>
            <w:vMerge w:val="continue"/>
            <w:tcBorders/>
            <w:shd w:fill="auto" w:val="clear"/>
            <w:vAlign w:val="center"/>
          </w:tcPr>
          <w:p>
            <w:pPr>
              <w:pStyle w:val="Normal"/>
              <w:rPr/>
            </w:pPr>
            <w:r>
              <w:rPr/>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10.3E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23">
              <w:r>
                <w:rPr>
                  <w:rStyle w:val="InternetLink"/>
                  <w:rFonts w:ascii="Times New Roman" w:hAnsi="Times New Roman"/>
                  <w:b w:val="false"/>
                  <w:sz w:val="20"/>
                  <w:u w:val="single"/>
                </w:rPr>
                <w:t>Third Amendment to Lease by and between HCP LS Redwood City, LLC and Revolution Medicines, Inc., dated as of November 1, 2021</w:t>
              </w:r>
            </w:hyperlink>
            <w:hyperlink r:id="rId24">
              <w:r>
                <w:rPr>
                  <w:rStyle w:val="InternetLink"/>
                  <w:rFonts w:ascii="Times New Roman" w:hAnsi="Times New Roman"/>
                  <w:b w:val="false"/>
                  <w:sz w:val="18"/>
                  <w:u w:val="single"/>
                </w:rPr>
                <w:t>.</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10-Q</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11/10/2021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10.4(a)#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25">
              <w:r>
                <w:rPr>
                  <w:rStyle w:val="InternetLink"/>
                  <w:rFonts w:ascii="Times New Roman" w:hAnsi="Times New Roman"/>
                  <w:b w:val="false"/>
                  <w:sz w:val="20"/>
                  <w:u w:val="single"/>
                </w:rPr>
                <w:t>2014 Equity Incentive Plan, as amended.</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10.6(a)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10.4(b)#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26">
              <w:r>
                <w:rPr>
                  <w:rStyle w:val="InternetLink"/>
                  <w:rFonts w:ascii="Times New Roman" w:hAnsi="Times New Roman"/>
                  <w:b w:val="false"/>
                  <w:sz w:val="20"/>
                  <w:u w:val="single"/>
                </w:rPr>
                <w:t>Form of Amended and Restated Early Exercise Stock Option Grant Notice and Amended and Restated Stock Option Agreement under 2014 Equity Incentive Plan, as amended.</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10.6(b)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10.5(a)#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27">
              <w:r>
                <w:rPr>
                  <w:rStyle w:val="InternetLink"/>
                  <w:rFonts w:ascii="Times New Roman" w:hAnsi="Times New Roman"/>
                  <w:b w:val="false"/>
                  <w:sz w:val="20"/>
                  <w:u w:val="single"/>
                </w:rPr>
                <w:t>2020 Incentive Award Plan.</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2/3/2020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10.7(a)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10.5(b)#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28">
              <w:r>
                <w:rPr>
                  <w:rStyle w:val="InternetLink"/>
                  <w:rFonts w:ascii="Times New Roman" w:hAnsi="Times New Roman"/>
                  <w:b w:val="false"/>
                  <w:sz w:val="20"/>
                  <w:u w:val="single"/>
                </w:rPr>
                <w:t>Form of Stock Option Grant Notice and Stock Option Agreement under the 2020 Incentive Award Plan.</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2/3/2020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10.7(b)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10.5(c)#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29">
              <w:r>
                <w:rPr>
                  <w:rStyle w:val="InternetLink"/>
                  <w:rFonts w:ascii="Times New Roman" w:hAnsi="Times New Roman"/>
                  <w:b w:val="false"/>
                  <w:sz w:val="20"/>
                  <w:u w:val="single"/>
                </w:rPr>
                <w:t>Form of Restricted Stock Award Agreement under the 2020 Incentive Award Plan.</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2/3/2020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10.7(c)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10.5(d)#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30">
              <w:r>
                <w:rPr>
                  <w:rStyle w:val="InternetLink"/>
                  <w:rFonts w:ascii="Times New Roman" w:hAnsi="Times New Roman"/>
                  <w:b w:val="false"/>
                  <w:sz w:val="20"/>
                  <w:u w:val="single"/>
                </w:rPr>
                <w:t>Form of Restricted Stock Unit Award Grant Notice under the 2020 Incentive Award Plan.</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2/3/2020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10.7(d)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31">
              <w:r>
                <w:rPr>
                  <w:rStyle w:val="InternetLink"/>
                  <w:rFonts w:ascii="Times New Roman" w:hAnsi="Times New Roman"/>
                  <w:b w:val="false"/>
                  <w:sz w:val="20"/>
                  <w:u w:val="single"/>
                </w:rPr>
                <w:t>2020 Employee Stock Purchase Plan.</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2/3/2020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32">
              <w:r>
                <w:rPr>
                  <w:rStyle w:val="InternetLink"/>
                  <w:rFonts w:ascii="Times New Roman" w:hAnsi="Times New Roman"/>
                  <w:b w:val="false"/>
                  <w:sz w:val="20"/>
                  <w:u w:val="single"/>
                </w:rPr>
                <w:t>Employment Agreement by and between Revolution Medicines, Inc. and Mark A. Goldsmith, M.D., Ph.D.</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33">
              <w:r>
                <w:rPr>
                  <w:rStyle w:val="InternetLink"/>
                  <w:rFonts w:ascii="Times New Roman" w:hAnsi="Times New Roman"/>
                  <w:b w:val="false"/>
                  <w:sz w:val="20"/>
                  <w:u w:val="single"/>
                </w:rPr>
                <w:t>Employment Agreement by and between Revolution Medicines, Inc. and Steve Kelsey, M.D., FRCP, FRCPath.</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34">
              <w:r>
                <w:rPr>
                  <w:rStyle w:val="InternetLink"/>
                  <w:rFonts w:ascii="Times New Roman" w:hAnsi="Times New Roman"/>
                  <w:b w:val="false"/>
                  <w:sz w:val="20"/>
                  <w:u w:val="single"/>
                </w:rPr>
                <w:t>Employment Agreement by and between Revolution Medicines, Inc. and Margaret Horn, J.D.</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31" w:type="dxa"/>
            <w:tcBorders/>
            <w:shd w:fill="auto" w:val="clear"/>
            <w:vAlign w:val="center"/>
          </w:tcPr>
          <w:p>
            <w:pPr>
              <w:pStyle w:val="TableContents"/>
              <w:spacing w:lineRule="auto" w:line="252" w:before="0" w:after="0"/>
              <w:ind w:left="0" w:right="0" w:hanging="0"/>
              <w:jc w:val="left"/>
              <w:rPr/>
            </w:pPr>
            <w:hyperlink r:id="rId35">
              <w:r>
                <w:rPr>
                  <w:rStyle w:val="InternetLink"/>
                  <w:rFonts w:ascii="Times New Roman" w:hAnsi="Times New Roman"/>
                  <w:b w:val="false"/>
                  <w:sz w:val="20"/>
                  <w:u w:val="single"/>
                </w:rPr>
                <w:t>Non-Employee Director Compensation Program.</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10-Q</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8/11/2021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790" w:type="dxa"/>
            <w:tcBorders/>
            <w:shd w:fill="auto" w:val="clear"/>
            <w:vAlign w:val="center"/>
          </w:tcPr>
          <w:p>
            <w:pPr>
              <w:pStyle w:val="TableContents"/>
              <w:spacing w:lineRule="auto" w:line="252" w:before="0" w:after="0"/>
              <w:ind w:left="0" w:right="0" w:hanging="0"/>
              <w:jc w:val="left"/>
              <w:rPr/>
            </w:pPr>
            <w:r>
              <w:rPr/>
              <w:t> </w:t>
            </w:r>
          </w:p>
        </w:tc>
        <w:tc>
          <w:tcPr>
            <w:tcW w:w="5577"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83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05"/>
        <w:gridCol w:w="146"/>
        <w:gridCol w:w="5466"/>
        <w:gridCol w:w="146"/>
        <w:gridCol w:w="586"/>
        <w:gridCol w:w="146"/>
        <w:gridCol w:w="643"/>
        <w:gridCol w:w="146"/>
        <w:gridCol w:w="796"/>
        <w:gridCol w:w="146"/>
        <w:gridCol w:w="841"/>
        <w:gridCol w:w="146"/>
        <w:gridCol w:w="192"/>
      </w:tblGrid>
      <w:tr>
        <w:trPr/>
        <w:tc>
          <w:tcPr>
            <w:tcW w:w="8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tcPr>
          <w:p>
            <w:pPr>
              <w:pStyle w:val="TableContents"/>
              <w:spacing w:before="0" w:after="283"/>
              <w:rPr>
                <w:sz w:val="4"/>
                <w:szCs w:val="4"/>
              </w:rPr>
            </w:pPr>
            <w:r>
              <w:rPr>
                <w:sz w:val="4"/>
                <w:szCs w:val="4"/>
              </w:rPr>
            </w:r>
          </w:p>
        </w:tc>
        <w:tc>
          <w:tcPr>
            <w:tcW w:w="192" w:type="dxa"/>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7" w:type="dxa"/>
            <w:gridSpan w:val="5"/>
            <w:tcBorders>
              <w:bottom w:val="single" w:sz="6" w:space="0" w:color="000000"/>
            </w:tcBorders>
            <w:shd w:fill="auto" w:val="clear"/>
            <w:tcMar>
              <w:top w:w="0" w:type="dxa"/>
              <w:left w:w="0" w:type="dxa"/>
              <w:right w:w="0" w:type="dxa"/>
            </w:tcMar>
            <w:vAlign w:val="center"/>
          </w:tcPr>
          <w:p>
            <w:pPr>
              <w:pStyle w:val="TableContents"/>
              <w:spacing w:lineRule="auto" w:line="252" w:before="0" w:after="15"/>
              <w:ind w:left="0" w:right="0" w:hanging="0"/>
              <w:jc w:val="center"/>
              <w:rPr>
                <w:rFonts w:ascii="Times New Roman" w:hAnsi="Times New Roman"/>
                <w:b/>
                <w:sz w:val="20"/>
              </w:rPr>
            </w:pPr>
            <w:r>
              <w:rPr>
                <w:rFonts w:ascii="Times New Roman" w:hAnsi="Times New Roman"/>
                <w:b/>
                <w:sz w:val="20"/>
              </w:rPr>
              <w:t>Incorporated by reference</w:t>
            </w:r>
          </w:p>
        </w:tc>
        <w:tc>
          <w:tcPr>
            <w:tcW w:w="146" w:type="dxa"/>
            <w:vMerge w:val="restart"/>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vMerge w:val="restart"/>
            <w:tcBorders>
              <w:bottom w:val="single" w:sz="6" w:space="0" w:color="000000"/>
            </w:tcBorders>
            <w:shd w:fill="auto" w:val="clear"/>
            <w:tcMar>
              <w:top w:w="0" w:type="dxa"/>
              <w:left w:w="0" w:type="dxa"/>
              <w:right w:w="0" w:type="dxa"/>
            </w:tcMar>
            <w:vAlign w:val="center"/>
          </w:tcPr>
          <w:p>
            <w:pPr>
              <w:pStyle w:val="TableContents"/>
              <w:spacing w:lineRule="auto" w:line="252" w:before="0" w:after="15"/>
              <w:ind w:left="0" w:right="0" w:hanging="0"/>
              <w:jc w:val="center"/>
              <w:rPr>
                <w:rFonts w:ascii="Times New Roman" w:hAnsi="Times New Roman"/>
                <w:b/>
                <w:sz w:val="20"/>
              </w:rPr>
            </w:pPr>
            <w:r>
              <w:rPr>
                <w:rFonts w:ascii="Times New Roman" w:hAnsi="Times New Roman"/>
                <w:b/>
                <w:sz w:val="20"/>
              </w:rPr>
              <w:t>Filed</w:t>
              <w:br/>
              <w:t>herewith</w:t>
            </w:r>
          </w:p>
        </w:tc>
        <w:tc>
          <w:tcPr>
            <w:tcW w:w="146" w:type="dxa"/>
            <w:tcBorders/>
            <w:shd w:fill="auto" w:val="clear"/>
          </w:tcPr>
          <w:p>
            <w:pPr>
              <w:pStyle w:val="TableContents"/>
              <w:spacing w:before="0" w:after="283"/>
              <w:rPr>
                <w:sz w:val="4"/>
                <w:szCs w:val="4"/>
              </w:rPr>
            </w:pPr>
            <w:r>
              <w:rPr>
                <w:sz w:val="4"/>
                <w:szCs w:val="4"/>
              </w:rPr>
            </w:r>
          </w:p>
        </w:tc>
        <w:tc>
          <w:tcPr>
            <w:tcW w:w="192" w:type="dxa"/>
            <w:tcBorders/>
            <w:shd w:fill="auto" w:val="clear"/>
          </w:tcPr>
          <w:p>
            <w:pPr>
              <w:pStyle w:val="TableContents"/>
              <w:spacing w:before="0" w:after="283"/>
              <w:rPr>
                <w:sz w:val="4"/>
                <w:szCs w:val="4"/>
              </w:rPr>
            </w:pPr>
            <w:r>
              <w:rPr>
                <w:sz w:val="4"/>
                <w:szCs w:val="4"/>
              </w:rPr>
            </w:r>
          </w:p>
        </w:tc>
      </w:tr>
      <w:tr>
        <w:trPr/>
        <w:tc>
          <w:tcPr>
            <w:tcW w:w="805"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Exhibit</w:t>
              <w:br/>
              <w:t>number</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6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Exhibit description</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Form</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43"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Date</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9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Number</w:t>
            </w:r>
          </w:p>
        </w:tc>
        <w:tc>
          <w:tcPr>
            <w:tcW w:w="146" w:type="dxa"/>
            <w:vMerge w:val="continue"/>
            <w:tcBorders>
              <w:bottom w:val="single" w:sz="6" w:space="0" w:color="000000"/>
            </w:tcBorders>
            <w:shd w:fill="auto" w:val="clear"/>
            <w:tcMar>
              <w:top w:w="0" w:type="dxa"/>
              <w:left w:w="0" w:type="dxa"/>
              <w:right w:w="0" w:type="dxa"/>
            </w:tcMar>
            <w:vAlign w:val="center"/>
          </w:tcPr>
          <w:p>
            <w:pPr>
              <w:pStyle w:val="Normal"/>
              <w:rPr/>
            </w:pPr>
            <w:r>
              <w:rPr/>
            </w:r>
          </w:p>
        </w:tc>
        <w:tc>
          <w:tcPr>
            <w:tcW w:w="841" w:type="dxa"/>
            <w:vMerge w:val="continue"/>
            <w:tcBorders>
              <w:bottom w:val="single" w:sz="6" w:space="0" w:color="000000"/>
            </w:tcBorders>
            <w:shd w:fill="auto" w:val="clear"/>
            <w:tcMar>
              <w:top w:w="0" w:type="dxa"/>
              <w:left w:w="0" w:type="dxa"/>
              <w:right w:w="0" w:type="dxa"/>
            </w:tcMar>
            <w:vAlign w:val="center"/>
          </w:tcPr>
          <w:p>
            <w:pPr>
              <w:pStyle w:val="Normal"/>
              <w:rPr/>
            </w:pPr>
            <w:r>
              <w:rPr/>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2"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805" w:type="dxa"/>
            <w:tcBorders/>
            <w:shd w:fill="auto" w:val="clear"/>
            <w:vAlign w:val="center"/>
          </w:tcPr>
          <w:p>
            <w:pPr>
              <w:pStyle w:val="TableContents"/>
              <w:spacing w:lineRule="auto" w:line="252" w:before="0" w:after="0"/>
              <w:ind w:left="0" w:right="0" w:hanging="0"/>
              <w:jc w:val="left"/>
              <w:rPr/>
            </w:pPr>
            <w:r>
              <w:rPr/>
              <w:t> </w:t>
            </w:r>
          </w:p>
        </w:tc>
        <w:tc>
          <w:tcPr>
            <w:tcW w:w="561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78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hyperlink r:id="rId36">
              <w:r>
                <w:rPr>
                  <w:rStyle w:val="InternetLink"/>
                  <w:rFonts w:ascii="Times New Roman" w:hAnsi="Times New Roman"/>
                  <w:b w:val="false"/>
                  <w:sz w:val="20"/>
                  <w:u w:val="single"/>
                </w:rPr>
                <w:t>Form of Indemnification Agreement for directors and officers.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2/3/2020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10.13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hyperlink r:id="rId37">
              <w:r>
                <w:rPr>
                  <w:rStyle w:val="InternetLink"/>
                  <w:rFonts w:ascii="Times New Roman" w:hAnsi="Times New Roman"/>
                  <w:b w:val="false"/>
                  <w:sz w:val="20"/>
                  <w:u w:val="single"/>
                </w:rPr>
                <w:t>Subsidiaries of Registrant</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1/17/2020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21.1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hyperlink w:anchor="rvmd-ex23_1.htm">
              <w:r>
                <w:rPr>
                  <w:rStyle w:val="InternetLink"/>
                  <w:rFonts w:ascii="Times New Roman" w:hAnsi="Times New Roman"/>
                  <w:b w:val="false"/>
                  <w:sz w:val="20"/>
                  <w:u w:val="single"/>
                </w:rPr>
                <w:t>Consent of Independent Registered Public Accounting Firm.</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24.1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20"/>
                  <w:u w:val="single"/>
                </w:rPr>
                <w:t>Power of Attorney (included on signature page to this Form 10-K).</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pPr>
            <w:r>
              <w:rPr/>
              <w:t> </w:t>
            </w:r>
          </w:p>
        </w:tc>
        <w:tc>
          <w:tcPr>
            <w:tcW w:w="561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78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hyperlink w:anchor="rvmd-ex31_1.htm">
              <w:r>
                <w:rPr>
                  <w:rStyle w:val="InternetLink"/>
                  <w:rFonts w:ascii="Times New Roman" w:hAnsi="Times New Roman"/>
                  <w:b w:val="fals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pPr>
            <w:r>
              <w:rPr/>
              <w:t> </w:t>
            </w:r>
          </w:p>
        </w:tc>
        <w:tc>
          <w:tcPr>
            <w:tcW w:w="561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78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hyperlink w:anchor="rvmd-ex31_2.htm">
              <w:r>
                <w:rPr>
                  <w:rStyle w:val="InternetLink"/>
                  <w:rFonts w:ascii="Times New Roman" w:hAnsi="Times New Roman"/>
                  <w:b w:val="fals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pPr>
            <w:r>
              <w:rPr/>
              <w:t> </w:t>
            </w:r>
          </w:p>
        </w:tc>
        <w:tc>
          <w:tcPr>
            <w:tcW w:w="561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78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hyperlink w:anchor="rvmd-ex32_1.htm">
              <w:r>
                <w:rPr>
                  <w:rStyle w:val="InternetLink"/>
                  <w:rFonts w:ascii="Times New Roman" w:hAnsi="Times New Roman"/>
                  <w:b w:val="false"/>
                  <w:sz w:val="20"/>
                  <w:u w:val="single"/>
                </w:rPr>
                <w:t>Certification of Principal Executive Officer Pursuant to 18 U.S.C. Section 1350, as Adopted Pursuant to Section 906 of the Sarbanes-Oxley Act of 2002.</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pPr>
            <w:r>
              <w:rPr/>
              <w:t> </w:t>
            </w:r>
          </w:p>
        </w:tc>
        <w:tc>
          <w:tcPr>
            <w:tcW w:w="5612" w:type="dxa"/>
            <w:gridSpan w:val="2"/>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left"/>
              <w:rPr/>
            </w:pPr>
            <w:r>
              <w:rPr/>
              <w:t> </w:t>
            </w:r>
          </w:p>
        </w:tc>
        <w:tc>
          <w:tcPr>
            <w:tcW w:w="789" w:type="dxa"/>
            <w:gridSpan w:val="2"/>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left"/>
              <w:rPr/>
            </w:pPr>
            <w:r>
              <w:rPr/>
              <w:t> </w:t>
            </w:r>
          </w:p>
        </w:tc>
        <w:tc>
          <w:tcPr>
            <w:tcW w:w="987" w:type="dxa"/>
            <w:gridSpan w:val="2"/>
            <w:tcBorders/>
            <w:shd w:fill="auto" w:val="clear"/>
            <w:vAlign w:val="center"/>
          </w:tcPr>
          <w:p>
            <w:pPr>
              <w:pStyle w:val="TableContents"/>
              <w:spacing w:lineRule="auto" w:line="252" w:before="0" w:after="0"/>
              <w:ind w:left="0" w:right="0" w:hanging="0"/>
              <w:jc w:val="left"/>
              <w:rPr/>
            </w:pPr>
            <w:r>
              <w:rPr/>
              <w:t> </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pPr>
            <w:hyperlink w:anchor="rvmd-ex32_2.htm">
              <w:r>
                <w:rPr>
                  <w:rStyle w:val="InternetLink"/>
                  <w:rFonts w:ascii="Times New Roman" w:hAnsi="Times New Roman"/>
                  <w:b w:val="false"/>
                  <w:sz w:val="20"/>
                  <w:u w:val="single"/>
                </w:rPr>
                <w:t>Certification of Principal Financial Officer Pursuant to 18 U.S.C. Section 1350, as Adopted Pursuant to Section 906 of the Sarbanes-Oxley Act of 2002.</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101.INS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Instance Document.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101.SCH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Schema Document.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101.CAL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Calculation Linkbase Document.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101.DEF</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Definition Linkbase Document.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101.LAB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Label Linkbase Document.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101.PRE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Presentation Linkbase Document.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r>
        <w:trPr/>
        <w:tc>
          <w:tcPr>
            <w:tcW w:w="80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4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 cover page from Revolution Medicines, Inc.’s Annual Report on Form 10-K for the year ended December 31, 2021, formatted in Inline XBRL and contained in Exhibit 101.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3"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X</w:t>
            </w:r>
          </w:p>
        </w:tc>
        <w:tc>
          <w:tcPr>
            <w:tcW w:w="338" w:type="dxa"/>
            <w:gridSpan w:val="2"/>
            <w:tcBorders/>
            <w:shd w:fill="auto" w:val="clear"/>
          </w:tcPr>
          <w:p>
            <w:pPr>
              <w:pStyle w:val="TableContents"/>
              <w:spacing w:before="0" w:after="283"/>
              <w:rPr>
                <w:sz w:val="4"/>
                <w:szCs w:val="4"/>
              </w:rPr>
            </w:pPr>
            <w:r>
              <w:rPr>
                <w:sz w:val="4"/>
                <w:szCs w:val="4"/>
              </w:rPr>
            </w:r>
          </w:p>
        </w:tc>
      </w:tr>
    </w:tbl>
    <w:p>
      <w:pPr>
        <w:pStyle w:val="TextBody"/>
        <w:pBdr>
          <w:bottom w:val="single" w:sz="4" w:space="1" w:color="000000"/>
        </w:pBdr>
        <w:spacing w:lineRule="auto" w:line="273" w:before="0" w:after="0"/>
        <w:jc w:val="left"/>
        <w:rPr/>
      </w:pPr>
      <w:r>
        <w:rPr/>
        <w:t> </w:t>
      </w:r>
    </w:p>
    <w:p>
      <w:pPr>
        <w:pStyle w:val="TextBody"/>
        <w:spacing w:lineRule="auto" w:line="273" w:before="40" w:after="0"/>
        <w:jc w:val="left"/>
        <w:rPr>
          <w:rFonts w:ascii="Times New Roman" w:hAnsi="Times New Roman"/>
          <w:b w:val="false"/>
          <w:sz w:val="15"/>
        </w:rPr>
      </w:pPr>
      <w:r>
        <w:rPr>
          <w:rFonts w:ascii="Times New Roman" w:hAnsi="Times New Roman"/>
          <w:b w:val="false"/>
          <w:sz w:val="15"/>
        </w:rPr>
        <w:t> Portions of the exhibit, marked by brackets, have been omitted because the omitted information (i) is not material and (ii) is the type of information that Revolution Medicines, Inc. treats as private or confidential.</w:t>
      </w:r>
    </w:p>
    <w:p>
      <w:pPr>
        <w:pStyle w:val="TextBody"/>
        <w:spacing w:lineRule="auto" w:line="273" w:before="120" w:after="0"/>
        <w:jc w:val="left"/>
        <w:rPr>
          <w:rFonts w:ascii="Times New Roman" w:hAnsi="Times New Roman"/>
          <w:b w:val="false"/>
          <w:sz w:val="15"/>
        </w:rPr>
      </w:pPr>
      <w:r>
        <w:rPr>
          <w:rFonts w:ascii="Times New Roman" w:hAnsi="Times New Roman"/>
          <w:b w:val="false"/>
          <w:sz w:val="15"/>
        </w:rPr>
        <w:t># Indicates management contract or compensatory plan.</w:t>
      </w:r>
    </w:p>
    <w:p>
      <w:pPr>
        <w:pStyle w:val="TextBody"/>
        <w:spacing w:lineRule="auto" w:line="273" w:before="120" w:after="0"/>
        <w:jc w:val="left"/>
        <w:rPr>
          <w:rFonts w:ascii="Times New Roman" w:hAnsi="Times New Roman"/>
          <w:b w:val="false"/>
          <w:sz w:val="15"/>
        </w:rPr>
      </w:pPr>
      <w:r>
        <w:rPr>
          <w:rFonts w:ascii="Times New Roman" w:hAnsi="Times New Roman"/>
          <w:b w:val="false"/>
          <w:sz w:val="15"/>
        </w:rPr>
        <w:t>* The certifications attached as Exhibits 32.1 and 32.2 that accompany this Annual Report on Form 10-K, are deemed furnished and not filed with the Securities and Exchange Commission and are not to be incorporated by reference into any filing of Revolution Medicines, Inc.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spacing w:lineRule="auto" w:line="273" w:before="360" w:after="0"/>
        <w:jc w:val="left"/>
        <w:rPr>
          <w:rFonts w:ascii="Times New Roman" w:hAnsi="Times New Roman"/>
          <w:sz w:val="20"/>
        </w:rPr>
      </w:pPr>
      <w:bookmarkStart w:id="38" w:name="item_16_form_10k_summary"/>
      <w:bookmarkEnd w:id="38"/>
      <w:r>
        <w:rPr>
          <w:rFonts w:ascii="Times New Roman" w:hAnsi="Times New Roman"/>
          <w:b/>
          <w:sz w:val="20"/>
        </w:rPr>
        <w:t>Item 16. Form</w:t>
      </w:r>
      <w:r>
        <w:rPr>
          <w:rFonts w:ascii="Times New Roman" w:hAnsi="Times New Roman"/>
          <w:sz w:val="20"/>
        </w:rPr>
        <w:t xml:space="preserve"> </w:t>
      </w:r>
      <w:r>
        <w:rPr>
          <w:rFonts w:ascii="Times New Roman" w:hAnsi="Times New Roman"/>
          <w:b/>
          <w:sz w:val="20"/>
        </w:rPr>
        <w:t>10-K Summary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123</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39" w:name="signatures"/>
      <w:bookmarkEnd w:id="39"/>
      <w:r>
        <w:rPr>
          <w:rFonts w:ascii="Times New Roman" w:hAnsi="Times New Roman"/>
          <w:b/>
          <w:sz w:val="20"/>
        </w:rPr>
        <w:t>SIGNATURES</w:t>
      </w:r>
    </w:p>
    <w:p>
      <w:pPr>
        <w:pStyle w:val="TextBody"/>
        <w:spacing w:lineRule="auto" w:line="273" w:before="200" w:after="0"/>
        <w:jc w:val="left"/>
        <w:rPr>
          <w:rFonts w:ascii="Times New Roman" w:hAnsi="Times New Roman"/>
          <w:sz w:val="20"/>
        </w:rPr>
      </w:pPr>
      <w:r>
        <w:rPr>
          <w:rFonts w:ascii="Times New Roman" w:hAnsi="Times New Roman"/>
          <w:b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sz w:val="20"/>
        </w:rPr>
        <w:t>.</w:t>
      </w:r>
    </w:p>
    <w:p>
      <w:pPr>
        <w:pStyle w:val="TextBody"/>
        <w:spacing w:lineRule="auto" w:line="273" w:before="0" w:after="0"/>
        <w:jc w:val="left"/>
        <w:rPr/>
      </w:pPr>
      <w:r>
        <w:rPr/>
        <w:t> </w:t>
      </w:r>
    </w:p>
    <w:tbl>
      <w:tblPr>
        <w:tblW w:w="5849" w:type="dxa"/>
        <w:jc w:val="left"/>
        <w:tblInd w:w="0" w:type="dxa"/>
        <w:tblCellMar>
          <w:top w:w="28" w:type="dxa"/>
          <w:left w:w="28" w:type="dxa"/>
          <w:bottom w:w="28" w:type="dxa"/>
          <w:right w:w="28" w:type="dxa"/>
        </w:tblCellMar>
      </w:tblPr>
      <w:tblGrid>
        <w:gridCol w:w="2086"/>
        <w:gridCol w:w="146"/>
        <w:gridCol w:w="406"/>
        <w:gridCol w:w="321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Revolution Medicines, Inc.</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February 28,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2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Mark A. Goldsmith</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Mark A. Goldsmith, M.D., Ph.D.</w:t>
            </w:r>
          </w:p>
        </w:tc>
      </w:tr>
      <w:tr>
        <w:trPr/>
        <w:tc>
          <w:tcPr>
            <w:tcW w:w="20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President and Chief Executive Officer</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40" w:name="power_attorney"/>
      <w:bookmarkEnd w:id="40"/>
      <w:r>
        <w:rPr>
          <w:rFonts w:ascii="Times New Roman" w:hAnsi="Times New Roman"/>
          <w:b/>
          <w:sz w:val="20"/>
        </w:rPr>
        <w:t>POWER OF ATTORNEY</w:t>
      </w:r>
    </w:p>
    <w:p>
      <w:pPr>
        <w:pStyle w:val="TextBody"/>
        <w:spacing w:lineRule="auto" w:line="273" w:before="200" w:after="0"/>
        <w:jc w:val="left"/>
        <w:rPr>
          <w:rFonts w:ascii="Times New Roman" w:hAnsi="Times New Roman"/>
          <w:b w:val="false"/>
          <w:sz w:val="20"/>
        </w:rPr>
      </w:pPr>
      <w:r>
        <w:rPr>
          <w:rFonts w:ascii="Times New Roman" w:hAnsi="Times New Roman"/>
          <w:b w:val="false"/>
          <w:sz w:val="20"/>
        </w:rPr>
        <w:t>KNOW ALL PERSONS BY THESE PRESENTS, that each person whose signature appears below hereby constitutes and appoints Mark A. Goldsmith, M.D., Ph.D., Margaret A. Horn and Jack Anders, and each of them acting individually, as his or her true and lawful attorneys-in-fact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pStyle w:val="TextBody"/>
        <w:spacing w:lineRule="auto" w:line="273" w:before="0" w:after="0"/>
        <w:jc w:val="left"/>
        <w:rPr/>
      </w:pPr>
      <w:r>
        <w:rPr/>
        <w:t> </w:t>
      </w:r>
    </w:p>
    <w:p>
      <w:pPr>
        <w:pStyle w:val="TextBody"/>
        <w:spacing w:lineRule="auto" w:line="273" w:before="40" w:after="0"/>
        <w:jc w:val="left"/>
        <w:rPr>
          <w:rFonts w:ascii="Times New Roman" w:hAnsi="Times New Roman"/>
          <w:b w:val="false"/>
          <w:sz w:val="20"/>
        </w:rPr>
      </w:pPr>
      <w:r>
        <w:rPr>
          <w:rFonts w:ascii="Times New Roman" w:hAnsi="Times New Roman"/>
          <w:b w:val="false"/>
          <w:sz w:val="20"/>
        </w:rPr>
        <w:t>Pursuant to the requirements of the Securities Exchange Act of 1934, as amended, this Report has been signed below by the following persons on behalf of the Registrant in the capacities and on the dates indicated.</w:t>
      </w:r>
    </w:p>
    <w:p>
      <w:pPr>
        <w:pStyle w:val="TextBody"/>
        <w:spacing w:lineRule="auto" w:line="273" w:before="0" w:after="0"/>
        <w:jc w:val="left"/>
        <w:rPr/>
      </w:pPr>
      <w:r>
        <w:rPr/>
        <w:t> </w:t>
      </w:r>
    </w:p>
    <w:tbl>
      <w:tblPr>
        <w:tblW w:w="10000" w:type="dxa"/>
        <w:jc w:val="left"/>
        <w:tblInd w:w="0" w:type="dxa"/>
        <w:tblCellMar>
          <w:top w:w="28" w:type="dxa"/>
          <w:left w:w="28" w:type="dxa"/>
          <w:bottom w:w="28" w:type="dxa"/>
          <w:right w:w="28" w:type="dxa"/>
        </w:tblCellMar>
      </w:tblPr>
      <w:tblGrid>
        <w:gridCol w:w="2701"/>
        <w:gridCol w:w="146"/>
        <w:gridCol w:w="5311"/>
        <w:gridCol w:w="146"/>
        <w:gridCol w:w="1696"/>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27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Name</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Title</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9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Date</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center"/>
              <w:rPr/>
            </w:pPr>
            <w:r>
              <w:rPr/>
              <w:t> </w:t>
            </w:r>
          </w:p>
        </w:tc>
      </w:tr>
      <w:tr>
        <w:trPr/>
        <w:tc>
          <w:tcPr>
            <w:tcW w:w="27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Mark A. Goldsmith</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President, Chief Executive Officer and 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Mark A. Goldsmith, M.D., Ph.D.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i/>
                <w:sz w:val="20"/>
              </w:rPr>
              <w:t>(Principal Executive Officer)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Jack Anders</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Senior Vice President, Finance and Principal Accounting Officer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Jack Anders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i/>
                <w:sz w:val="20"/>
              </w:rPr>
              <w:t>(Principal Financial and Accounting Officer)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Elizabeth McKee Anderson</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Elizabeth McKee Anderson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Flavia Borellini</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Flavia Borellini, Ph.D.</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Alexis Borisy</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Alexis Borisy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Neil Exter</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Neil Exter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Vincent A. Miller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Vincent A. Miller, M.D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Eric Schmidt</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Eric Schmidt Ph.D.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Thilo Schroeder</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20"/>
              </w:rPr>
              <w:t>Thilo Schroeder, Ph.D.</w:t>
            </w:r>
            <w:r>
              <w:rPr>
                <w:rFonts w:ascii="Times New Roman" w:hAnsi="Times New Roman"/>
                <w:sz w:val="20"/>
              </w:rPr>
              <w:t xml:space="preserve">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Barbara Weber</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February 28, 2022</w:t>
            </w:r>
          </w:p>
        </w:tc>
      </w:tr>
      <w:tr>
        <w:trPr/>
        <w:tc>
          <w:tcPr>
            <w:tcW w:w="270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Barbara Weber, M.D.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96"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124</w:t>
      </w:r>
    </w:p>
    <w:p>
      <w:pPr>
        <w:pStyle w:val="HorizontalLine"/>
        <w:rPr/>
      </w:pPr>
      <w:r>
        <w:rPr/>
      </w:r>
      <w:r>
        <w:br w:type="page"/>
      </w:r>
    </w:p>
    <w:p>
      <w:pPr>
        <w:pStyle w:val="TextBody"/>
        <w:spacing w:lineRule="auto" w:line="273" w:before="0" w:after="0"/>
        <w:jc w:val="left"/>
        <w:rPr/>
      </w:pPr>
      <w:bookmarkStart w:id="41" w:name="rvmd-ex4_3.htm"/>
      <w:bookmarkStart w:id="42" w:name="ksrvmdex4_3"/>
      <w:bookmarkEnd w:id="41"/>
      <w:bookmarkEnd w:id="42"/>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4.3</w:t>
      </w:r>
    </w:p>
    <w:p>
      <w:pPr>
        <w:pStyle w:val="TextBody"/>
        <w:spacing w:lineRule="auto" w:line="273" w:before="180" w:after="0"/>
        <w:jc w:val="center"/>
        <w:rPr>
          <w:rFonts w:ascii="Times New Roman" w:hAnsi="Times New Roman"/>
          <w:b/>
          <w:sz w:val="20"/>
        </w:rPr>
      </w:pPr>
      <w:r>
        <w:rPr>
          <w:rFonts w:ascii="Times New Roman" w:hAnsi="Times New Roman"/>
          <w:b/>
          <w:sz w:val="20"/>
        </w:rPr>
        <w:t>DESCRIPTION OF THE REGISTRANT’S SECURITIES</w:t>
      </w:r>
    </w:p>
    <w:p>
      <w:pPr>
        <w:pStyle w:val="TextBody"/>
        <w:spacing w:lineRule="auto" w:line="273" w:before="0" w:after="0"/>
        <w:jc w:val="center"/>
        <w:rPr>
          <w:rFonts w:ascii="Times New Roman" w:hAnsi="Times New Roman"/>
          <w:b/>
          <w:sz w:val="20"/>
        </w:rPr>
      </w:pPr>
      <w:r>
        <w:rPr>
          <w:rFonts w:ascii="Times New Roman" w:hAnsi="Times New Roman"/>
          <w:b/>
          <w:sz w:val="20"/>
        </w:rPr>
        <w:t>REGISTERED PURSUANT TO SECTION 12 OF THE</w:t>
      </w:r>
    </w:p>
    <w:p>
      <w:pPr>
        <w:pStyle w:val="TextBody"/>
        <w:spacing w:lineRule="auto" w:line="273" w:before="0" w:after="0"/>
        <w:jc w:val="center"/>
        <w:rPr>
          <w:rFonts w:ascii="Times New Roman" w:hAnsi="Times New Roman"/>
          <w:b/>
          <w:sz w:val="20"/>
        </w:rPr>
      </w:pPr>
      <w:r>
        <w:rPr>
          <w:rFonts w:ascii="Times New Roman" w:hAnsi="Times New Roman"/>
          <w:b/>
          <w:sz w:val="20"/>
        </w:rPr>
        <w:t>SECURITIES EXCHANGE ACT OF 1934</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Revolution Medicines, Inc. (“we,” “us,” “our” and the “Company”) has one class of securities registered under Section 12 of the Securities Exchange Act of 1934, as amended (the “Exchange Act”): our common stock. The following description of our common stock is a summary and does not purport to be complete. It is subject to and qualified in its entirety by reference to our amended and restated certificate of incorporation and our amended and restated bylaws, each of which are filed as exhibits to the Annual Report on Form 10-K, of which this exhibit is a part, and to the applicable provisions of Delaware law. We encourage you to read our amended and restated certificate of incorporation and our amended and restated bylaws and the applicable provisions of Delaware law for more information.</w:t>
      </w:r>
    </w:p>
    <w:p>
      <w:pPr>
        <w:pStyle w:val="TextBody"/>
        <w:spacing w:lineRule="auto" w:line="273" w:before="240" w:after="0"/>
        <w:jc w:val="left"/>
        <w:rPr>
          <w:rFonts w:ascii="Times New Roman" w:hAnsi="Times New Roman"/>
          <w:sz w:val="20"/>
        </w:rPr>
      </w:pPr>
      <w:r>
        <w:rPr>
          <w:rFonts w:ascii="Times New Roman" w:hAnsi="Times New Roman"/>
          <w:b/>
          <w:sz w:val="20"/>
        </w:rPr>
        <w:t>General</w:t>
      </w:r>
      <w:r>
        <w:rPr>
          <w:rFonts w:ascii="Times New Roman" w:hAnsi="Times New Roman"/>
          <w:sz w:val="20"/>
        </w:rPr>
        <w:t xml:space="preserve"> </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Our authorized capital stock consists of 310,000,000 shares, consisting of 300,000,000 shares of common stock, $0.0001 par value, and 10,000,000 shares of preferred stock, $0.0001 par value.</w:t>
      </w:r>
    </w:p>
    <w:p>
      <w:pPr>
        <w:pStyle w:val="TextBody"/>
        <w:spacing w:lineRule="auto" w:line="273" w:before="240" w:after="0"/>
        <w:jc w:val="left"/>
        <w:rPr>
          <w:rFonts w:ascii="Times New Roman" w:hAnsi="Times New Roman"/>
          <w:sz w:val="20"/>
        </w:rPr>
      </w:pPr>
      <w:r>
        <w:rPr>
          <w:rFonts w:ascii="Times New Roman" w:hAnsi="Times New Roman"/>
          <w:b/>
          <w:sz w:val="20"/>
        </w:rPr>
        <w:t>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Dividends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Subject to preferences that may be applicable to any then outstanding preferred stock, holders of our common stock are entitled to receive dividends, if any, as may be declared from time to time by our board of directors out of legally available funds.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Liquidation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Rights and preferences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Fully paid and nonassessable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All of our outstanding shares of common stock are fully paid and nonassessable.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|US-DOCS\130011289.2||</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sz w:val="20"/>
        </w:rPr>
      </w:pPr>
      <w:r>
        <w:rPr>
          <w:rFonts w:ascii="Times New Roman" w:hAnsi="Times New Roman"/>
          <w:b/>
          <w:sz w:val="20"/>
        </w:rPr>
        <w:t>Registration rights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Under our amended and restated investors’ rights agreement, certain holders of shares of our common stock, or their transferees, have the right to require us to register their shares under the Securities Act of 1933, as amended (the “Securities Act”) so that those shares may be publicly resold, those holders, or their transferees, have the right to include their shares in any registration statement we file, in each case as described below. The shares subject to such registration rights are referred to as registrable securities.</w:t>
      </w:r>
    </w:p>
    <w:p>
      <w:pPr>
        <w:pStyle w:val="TextBody"/>
        <w:spacing w:lineRule="auto" w:line="273" w:before="240" w:after="0"/>
        <w:jc w:val="left"/>
        <w:rPr>
          <w:rFonts w:ascii="Times New Roman" w:hAnsi="Times New Roman"/>
          <w:sz w:val="20"/>
        </w:rPr>
      </w:pPr>
      <w:r>
        <w:rPr>
          <w:rFonts w:ascii="Times New Roman" w:hAnsi="Times New Roman"/>
          <w:b/>
          <w:i/>
          <w:sz w:val="20"/>
        </w:rPr>
        <w:t>Form S-1 demand registration rights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Holders of registrable securities are entitled to certain Form S-1 demand registration rights.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Beginning on August 11, 2020, the holders of at least a majority of the registrable securities can request that we register all or a portion of their shares, so long as such holders request that we register at least 40% of the registrable securities. These stockholders may make up to two requests for registration on Form S-1.</w:t>
      </w:r>
    </w:p>
    <w:p>
      <w:pPr>
        <w:pStyle w:val="TextBody"/>
        <w:spacing w:lineRule="auto" w:line="273" w:before="240" w:after="0"/>
        <w:jc w:val="left"/>
        <w:rPr>
          <w:rFonts w:ascii="Times New Roman" w:hAnsi="Times New Roman"/>
          <w:sz w:val="20"/>
        </w:rPr>
      </w:pPr>
      <w:r>
        <w:rPr>
          <w:rFonts w:ascii="Times New Roman" w:hAnsi="Times New Roman"/>
          <w:b/>
          <w:i/>
          <w:sz w:val="20"/>
        </w:rPr>
        <w:t>Form S-3 demand registration rights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Holders of registrable securities are entitled to certain Form S-3 demand registration rights. If we are eligible to use a Form S-3 registration statement, the holders of at least 20% of the registrable securities can request that we register all or a portion of their shares on a Form S-3 registration statement if the anticipated aggregate offering price is at least $5.0 million, net of certain 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12 month period immediately preceding such request.</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Piggyback registration rights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the event that we determine to register any of our securities under the Securities Act (subject to certain exceptions), either for our own account or for the account of other security holders, the holders of the holders of the registrable securities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certain registrations, including related to the sale of securities to employees pursuant to employee benefit plans, the offer and sale of debt securities, or a Securities and Exchange Commission Rule 145 transaction, the holders of the registrable securities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limit the number of shares such holders may include.</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Expenses of registration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will pay the registration expenses, excluding certain expenses related to the sale of shares, of the holders of the shares registered pursuant to the Form S-1 demand, Form S-3 demand and piggyback registration rights described above, including the reasonable expenses of one counsel for the selling holders not to exceed $25,000.</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Expiration of registration rights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Form S-1 demand, Form S-3 demand and piggyback registration rights described above will terminate, with respect to any particular stockholder, upon the earlier of (i) February 18, 2025, (ii) the date that Rule 144 or another similar exemption under the Securities Act is available to such stockholder for the sale of all of such stockholder’s shares without limitation during a three-month period, or (iii) upon the consummation of a merger, consolidation or the sale of substantially all of our assets.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Anti-takeover effects of provisions of our amended and restated certificate of incorporation, our amended and restated bylaws and Delaware law</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Some provisions of Delaware law, our amended and restated certificate of incorporation and our amended and restated bylaws contain provisions that could make the following transactions more difficult: acquisition of us by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2</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|US-DOCS\130011289.2||</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Delaware anti-takeover statute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Undesignated preferred stock</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ability to issue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Special stockholder meetings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amended and restated certificate of incorporation and our amended and restated bylaws provide that a special meeting of stockholders may be called only by our board of directors, or by our President or Chief Executive Officer.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Requirements for advance notification of stockholder nominations and proposals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Elimination of stockholder action by written consent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amended and restated certificate of incorporation and our amended and restated bylaws eliminate the right of stockholders to act by written consent without a meeting.</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Classified board; election and removal of directors; filling vacancies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3</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|US-DOCS\130011289.2||</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Choice of forum</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amended and restated certificate of incorporation and amended and restated bylaws provide that the Court of Chancery of the State of Delaware is the sole and exclusive forum for (i) any state law derivative action or proceeding brought on our behalf, (ii) any action asserting a claim of breach of a fiduciary duty owed by any of our directors or officers to us or our stockholders, (iii) any action asserting a claim against us arising pursuant to any provision of the Delaware General Corporation Law or our amended and restated certificate of incorporation or amended and restated bylaws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will be the exclusive forum for the resolution of any complaint asserting a cause or causes of action under the Securities Act. Such provision is intended to benefit and may be enforced by us, our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Nothing in our amended and restated certificate of incorporation or amended and restated bylaws precludes stockholders that assert claims under the Exchange Act from bringing such claims in state or federal court, subject to applicable law.</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i/>
          <w:sz w:val="20"/>
        </w:rPr>
        <w:t>Amendment of certificate of incorporation provisions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Nasdaq Global Select Market listing</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Our common stock is listed on the Nasdaq Global Select Market under the symbol “RVMD.”</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Transfer agent and registrar</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transfer agent and registrar for our common stock is American Stock Transfer &amp; Trust Company, LLC. The transfer agent and registrar’s address is 6201 15th Avenue, Brooklyn, New York 11219.</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4"/>
        </w:rPr>
      </w:pPr>
      <w:r>
        <w:rPr>
          <w:rFonts w:ascii="Times New Roman" w:hAnsi="Times New Roman"/>
          <w:b w:val="false"/>
          <w:sz w:val="24"/>
        </w:rPr>
        <w:t>4</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6"/>
        </w:rPr>
      </w:pPr>
      <w:r>
        <w:rPr>
          <w:rFonts w:ascii="Times New Roman" w:hAnsi="Times New Roman"/>
          <w:b w:val="false"/>
          <w:sz w:val="16"/>
        </w:rPr>
        <w:t>|US-DOCS\130011289.2||</w:t>
      </w:r>
    </w:p>
    <w:p>
      <w:pPr>
        <w:pStyle w:val="HorizontalLine"/>
        <w:rPr/>
      </w:pPr>
      <w:r>
        <w:rPr/>
      </w:r>
      <w:r>
        <w:br w:type="page"/>
      </w:r>
    </w:p>
    <w:p>
      <w:pPr>
        <w:pStyle w:val="TextBody"/>
        <w:spacing w:lineRule="auto" w:line="273" w:before="0" w:after="0"/>
        <w:jc w:val="left"/>
        <w:rPr/>
      </w:pPr>
      <w:bookmarkStart w:id="43" w:name="rvmd-ex23_1.htm"/>
      <w:bookmarkStart w:id="44" w:name="ksrvmdex23_1"/>
      <w:bookmarkEnd w:id="43"/>
      <w:bookmarkEnd w:id="44"/>
      <w:r>
        <w:rPr/>
        <w:t> </w:t>
      </w:r>
    </w:p>
    <w:p>
      <w:pPr>
        <w:pStyle w:val="TextBody"/>
        <w:spacing w:lineRule="auto" w:line="273" w:before="480" w:after="480"/>
        <w:jc w:val="right"/>
        <w:rPr>
          <w:rFonts w:ascii="Times New Roman" w:hAnsi="Times New Roman"/>
          <w:b w:val="false"/>
          <w:sz w:val="20"/>
        </w:rPr>
      </w:pPr>
      <w:r>
        <w:rPr>
          <w:rFonts w:ascii="Times New Roman" w:hAnsi="Times New Roman"/>
          <w:b w:val="false"/>
          <w:sz w:val="20"/>
        </w:rPr>
        <w:t>Exhibit 23.1</w:t>
      </w:r>
    </w:p>
    <w:p>
      <w:pPr>
        <w:pStyle w:val="TextBody"/>
        <w:spacing w:lineRule="auto" w:line="273" w:before="480" w:after="480"/>
        <w:jc w:val="center"/>
        <w:rPr>
          <w:rFonts w:ascii="Times New Roman" w:hAnsi="Times New Roman"/>
          <w:b w:val="false"/>
          <w:sz w:val="20"/>
        </w:rPr>
      </w:pPr>
      <w:r>
        <w:rPr>
          <w:rFonts w:ascii="Times New Roman" w:hAnsi="Times New Roman"/>
          <w:b w:val="false"/>
          <w:sz w:val="20"/>
        </w:rPr>
        <w:t>CONSENT OF INDEPENDENT REGISTERED PUBLIC ACCOUNTING FIRM</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We hereby consent to the incorporation by reference in the Registration Statement on Form S-8 (No.333-253791) of Revolution Medicines, Inc. of our report dated February 28, 2022 relating to the financial statements and the effectiveness of internal control over financial reporting, which appears in this Form 10-K.</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/s/ PricewaterhouseCoopers LLP</w:t>
        <w:br/>
        <w:t>San Jose, California</w:t>
        <w:br/>
        <w:t>February 28, 2022</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18"/>
        </w:rPr>
      </w:pPr>
      <w:bookmarkStart w:id="45" w:name="rvmd-ex31_1.htm"/>
      <w:bookmarkStart w:id="46" w:name="ksrvmdex31_1"/>
      <w:bookmarkEnd w:id="45"/>
      <w:bookmarkEnd w:id="46"/>
      <w:r>
        <w:rPr>
          <w:rFonts w:ascii="Times New Roman" w:hAnsi="Times New Roman"/>
          <w:b/>
          <w:sz w:val="18"/>
        </w:rPr>
        <w:t>Exhibit 31.1</w:t>
      </w:r>
    </w:p>
    <w:p>
      <w:pPr>
        <w:pStyle w:val="TextBody"/>
        <w:spacing w:lineRule="auto" w:line="273" w:before="360" w:after="0"/>
        <w:jc w:val="center"/>
        <w:rPr>
          <w:rFonts w:ascii="Times New Roman" w:hAnsi="Times New Roman"/>
          <w:b/>
          <w:sz w:val="18"/>
        </w:rPr>
      </w:pPr>
      <w:r>
        <w:rPr>
          <w:rFonts w:ascii="Times New Roman" w:hAnsi="Times New Roman"/>
          <w:b/>
          <w:sz w:val="18"/>
        </w:rPr>
        <w:t>CERTIFICATION PURSUANT TO</w:t>
      </w:r>
    </w:p>
    <w:p>
      <w:pPr>
        <w:pStyle w:val="TextBody"/>
        <w:spacing w:lineRule="auto" w:line="273" w:before="0" w:after="0"/>
        <w:jc w:val="center"/>
        <w:rPr>
          <w:rFonts w:ascii="Times New Roman" w:hAnsi="Times New Roman"/>
          <w:b/>
          <w:sz w:val="18"/>
        </w:rPr>
      </w:pPr>
      <w:r>
        <w:rPr>
          <w:rFonts w:ascii="Times New Roman" w:hAnsi="Times New Roman"/>
          <w:b/>
          <w:sz w:val="18"/>
        </w:rPr>
        <w:t>RULES 13a-14(a) AND 15d-14(a) UNDER THE SECURITIES EXCHANGE ACT OF 1934,</w:t>
      </w:r>
    </w:p>
    <w:p>
      <w:pPr>
        <w:pStyle w:val="TextBody"/>
        <w:spacing w:lineRule="auto" w:line="273" w:before="0" w:after="0"/>
        <w:jc w:val="center"/>
        <w:rPr>
          <w:rFonts w:ascii="Times New Roman" w:hAnsi="Times New Roman"/>
          <w:b/>
          <w:sz w:val="18"/>
        </w:rPr>
      </w:pPr>
      <w:r>
        <w:rPr>
          <w:rFonts w:ascii="Times New Roman" w:hAnsi="Times New Roman"/>
          <w:b/>
          <w:sz w:val="18"/>
        </w:rPr>
        <w:t>AS ADOPTED PURSUANT TO SECTION 302 OF THE SARBANES-OXLEY ACT OF 2002</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I, Mark A. Goldsmith, certify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I have reviewed this Annual Report on Form 10-K of Revolution Medicines, Inc.;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(a)</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(b)</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(c)</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(a)</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(b)</w:t>
      </w:r>
    </w:p>
    <w:p>
      <w:pPr>
        <w:pStyle w:val="TextBody"/>
        <w:spacing w:lineRule="auto" w:line="273" w:before="240" w:after="283"/>
        <w:jc w:val="left"/>
        <w:rPr>
          <w:rFonts w:ascii="Times New Roman" w:hAnsi="Times New Roman"/>
          <w:b w:val="false"/>
          <w:sz w:val="18"/>
        </w:rPr>
      </w:pPr>
      <w:r>
        <w:rPr>
          <w:rFonts w:ascii="Times New Roman" w:hAnsi="Times New Roman"/>
          <w:b w:val="false"/>
          <w:sz w:val="18"/>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5204" w:type="dxa"/>
        <w:jc w:val="left"/>
        <w:tblInd w:w="0" w:type="dxa"/>
        <w:tblCellMar>
          <w:top w:w="28" w:type="dxa"/>
          <w:left w:w="28" w:type="dxa"/>
          <w:bottom w:w="28" w:type="dxa"/>
          <w:right w:w="28" w:type="dxa"/>
        </w:tblCellMar>
      </w:tblPr>
      <w:tblGrid>
        <w:gridCol w:w="1861"/>
        <w:gridCol w:w="146"/>
        <w:gridCol w:w="361"/>
        <w:gridCol w:w="2836"/>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Date: February 28,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By:</w:t>
            </w:r>
          </w:p>
        </w:tc>
        <w:tc>
          <w:tcPr>
            <w:tcW w:w="28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/s/ Mark A. Goldsmith</w:t>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8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Mark A. Goldsmith, M.D., Ph.D.</w:t>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8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President and Chief Executive Officer</w:t>
            </w:r>
          </w:p>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(Principal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18"/>
        </w:rPr>
      </w:pPr>
      <w:bookmarkStart w:id="47" w:name="rvmd-ex31_2.htm"/>
      <w:bookmarkStart w:id="48" w:name="ksrvmdex31_2"/>
      <w:bookmarkEnd w:id="47"/>
      <w:bookmarkEnd w:id="48"/>
      <w:r>
        <w:rPr>
          <w:rFonts w:ascii="Times New Roman" w:hAnsi="Times New Roman"/>
          <w:b/>
          <w:sz w:val="18"/>
        </w:rPr>
        <w:t>Exhibit 31.2</w:t>
      </w:r>
    </w:p>
    <w:p>
      <w:pPr>
        <w:pStyle w:val="TextBody"/>
        <w:spacing w:lineRule="auto" w:line="273" w:before="360" w:after="0"/>
        <w:jc w:val="center"/>
        <w:rPr>
          <w:rFonts w:ascii="Times New Roman" w:hAnsi="Times New Roman"/>
          <w:b/>
          <w:sz w:val="18"/>
        </w:rPr>
      </w:pPr>
      <w:r>
        <w:rPr>
          <w:rFonts w:ascii="Times New Roman" w:hAnsi="Times New Roman"/>
          <w:b/>
          <w:sz w:val="18"/>
        </w:rPr>
        <w:t>CERTIFICATION PURSUANT TO</w:t>
      </w:r>
    </w:p>
    <w:p>
      <w:pPr>
        <w:pStyle w:val="TextBody"/>
        <w:spacing w:lineRule="auto" w:line="273" w:before="0" w:after="0"/>
        <w:jc w:val="center"/>
        <w:rPr>
          <w:rFonts w:ascii="Times New Roman" w:hAnsi="Times New Roman"/>
          <w:b/>
          <w:sz w:val="18"/>
        </w:rPr>
      </w:pPr>
      <w:r>
        <w:rPr>
          <w:rFonts w:ascii="Times New Roman" w:hAnsi="Times New Roman"/>
          <w:b/>
          <w:sz w:val="18"/>
        </w:rPr>
        <w:t>RULES 13a-14(a) AND 15d-14(a) UNDER THE SECURITIES EXCHANGE ACT OF 1934,</w:t>
      </w:r>
    </w:p>
    <w:p>
      <w:pPr>
        <w:pStyle w:val="TextBody"/>
        <w:spacing w:lineRule="auto" w:line="273" w:before="0" w:after="0"/>
        <w:jc w:val="center"/>
        <w:rPr>
          <w:rFonts w:ascii="Times New Roman" w:hAnsi="Times New Roman"/>
          <w:b/>
          <w:sz w:val="18"/>
        </w:rPr>
      </w:pPr>
      <w:r>
        <w:rPr>
          <w:rFonts w:ascii="Times New Roman" w:hAnsi="Times New Roman"/>
          <w:b/>
          <w:sz w:val="18"/>
        </w:rPr>
        <w:t>AS ADOPTED PURSUANT TO SECTION 302 OF THE SARBANES-OXLEY ACT OF 2002</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I, Jack Anders, certify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I have reviewed this Annual Report on Form 10-K of Revolution Medicines, Inc.;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(a)</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(b)</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(c)</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(a)</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(b)</w:t>
      </w:r>
    </w:p>
    <w:p>
      <w:pPr>
        <w:pStyle w:val="TextBody"/>
        <w:spacing w:lineRule="auto" w:line="273" w:before="240" w:after="283"/>
        <w:jc w:val="left"/>
        <w:rPr>
          <w:rFonts w:ascii="Times New Roman" w:hAnsi="Times New Roman"/>
          <w:b w:val="false"/>
          <w:sz w:val="18"/>
        </w:rPr>
      </w:pPr>
      <w:r>
        <w:rPr>
          <w:rFonts w:ascii="Times New Roman" w:hAnsi="Times New Roman"/>
          <w:b w:val="false"/>
          <w:sz w:val="18"/>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7109" w:type="dxa"/>
        <w:jc w:val="left"/>
        <w:tblInd w:w="0" w:type="dxa"/>
        <w:tblCellMar>
          <w:top w:w="28" w:type="dxa"/>
          <w:left w:w="28" w:type="dxa"/>
          <w:bottom w:w="28" w:type="dxa"/>
          <w:right w:w="28" w:type="dxa"/>
        </w:tblCellMar>
      </w:tblPr>
      <w:tblGrid>
        <w:gridCol w:w="1861"/>
        <w:gridCol w:w="146"/>
        <w:gridCol w:w="361"/>
        <w:gridCol w:w="474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474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Date: February 28,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By:</w:t>
            </w:r>
          </w:p>
        </w:tc>
        <w:tc>
          <w:tcPr>
            <w:tcW w:w="47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/s/ Jack Anders</w:t>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Jack Anders</w:t>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741" w:type="dxa"/>
            <w:tcBorders/>
            <w:shd w:fill="auto" w:val="clear"/>
            <w:tcMar>
              <w:top w:w="0" w:type="dxa"/>
              <w:left w:w="0" w:type="dxa"/>
              <w:bottom w:w="0" w:type="dxa"/>
              <w:right w:w="0" w:type="dxa"/>
            </w:tcMar>
            <w:vAlign w:val="center"/>
          </w:tcPr>
          <w:p>
            <w:pPr>
              <w:pStyle w:val="TableContents"/>
              <w:spacing w:lineRule="auto" w:line="252" w:before="60" w:after="0"/>
              <w:ind w:left="0" w:right="0" w:hanging="0"/>
              <w:jc w:val="center"/>
              <w:rPr>
                <w:rFonts w:ascii="Times New Roman" w:hAnsi="Times New Roman"/>
                <w:b w:val="false"/>
                <w:sz w:val="18"/>
              </w:rPr>
            </w:pPr>
            <w:r>
              <w:rPr>
                <w:rFonts w:ascii="Times New Roman" w:hAnsi="Times New Roman"/>
                <w:b w:val="false"/>
                <w:sz w:val="18"/>
              </w:rPr>
              <w:t>Senior Vice President, Finance and Principal Accounting Officer</w:t>
            </w:r>
          </w:p>
          <w:p>
            <w:pPr>
              <w:pStyle w:val="TableContents"/>
              <w:spacing w:lineRule="auto" w:line="252" w:before="60" w:after="0"/>
              <w:ind w:left="0" w:right="0" w:hanging="0"/>
              <w:jc w:val="center"/>
              <w:rPr>
                <w:rFonts w:ascii="Times New Roman" w:hAnsi="Times New Roman"/>
                <w:b w:val="false"/>
                <w:sz w:val="18"/>
              </w:rPr>
            </w:pPr>
            <w:r>
              <w:rPr>
                <w:rFonts w:ascii="Times New Roman" w:hAnsi="Times New Roman"/>
                <w:b w:val="false"/>
                <w:sz w:val="18"/>
              </w:rPr>
              <w:t>(Principal Financial and Accounting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49" w:name="rvmd-ex32_1.htm"/>
      <w:bookmarkStart w:id="50" w:name="ksrvmdex32_1"/>
      <w:bookmarkEnd w:id="49"/>
      <w:bookmarkEnd w:id="50"/>
      <w:r>
        <w:rPr/>
        <w:t> </w:t>
      </w:r>
    </w:p>
    <w:p>
      <w:pPr>
        <w:pStyle w:val="TextBody"/>
        <w:spacing w:lineRule="auto" w:line="273" w:before="0" w:after="0"/>
        <w:jc w:val="right"/>
        <w:rPr>
          <w:rFonts w:ascii="Times New Roman" w:hAnsi="Times New Roman"/>
          <w:b/>
          <w:sz w:val="18"/>
        </w:rPr>
      </w:pPr>
      <w:r>
        <w:rPr>
          <w:rFonts w:ascii="Times New Roman" w:hAnsi="Times New Roman"/>
          <w:b/>
          <w:sz w:val="18"/>
        </w:rPr>
        <w:t>Exhibit 32.1</w:t>
      </w:r>
    </w:p>
    <w:p>
      <w:pPr>
        <w:pStyle w:val="TextBody"/>
        <w:spacing w:lineRule="auto" w:line="273" w:before="360" w:after="0"/>
        <w:jc w:val="center"/>
        <w:rPr>
          <w:rFonts w:ascii="Times New Roman" w:hAnsi="Times New Roman"/>
          <w:b/>
          <w:sz w:val="18"/>
        </w:rPr>
      </w:pPr>
      <w:r>
        <w:rPr>
          <w:rFonts w:ascii="Times New Roman" w:hAnsi="Times New Roman"/>
          <w:b/>
          <w:sz w:val="18"/>
        </w:rPr>
        <w:t>CERTIFICATION PURSUANT TO</w:t>
      </w:r>
    </w:p>
    <w:p>
      <w:pPr>
        <w:pStyle w:val="TextBody"/>
        <w:spacing w:lineRule="auto" w:line="273" w:before="0" w:after="0"/>
        <w:jc w:val="center"/>
        <w:rPr>
          <w:rFonts w:ascii="Times New Roman" w:hAnsi="Times New Roman"/>
          <w:b/>
          <w:sz w:val="18"/>
        </w:rPr>
      </w:pPr>
      <w:r>
        <w:rPr>
          <w:rFonts w:ascii="Times New Roman" w:hAnsi="Times New Roman"/>
          <w:b/>
          <w:sz w:val="18"/>
        </w:rPr>
        <w:t>18 U.S.C. SECTION 1350, AS ADOPTED PURSUANT TO</w:t>
      </w:r>
    </w:p>
    <w:p>
      <w:pPr>
        <w:pStyle w:val="TextBody"/>
        <w:spacing w:lineRule="auto" w:line="273" w:before="0" w:after="0"/>
        <w:jc w:val="center"/>
        <w:rPr>
          <w:rFonts w:ascii="Times New Roman" w:hAnsi="Times New Roman"/>
          <w:b/>
          <w:sz w:val="18"/>
        </w:rPr>
      </w:pPr>
      <w:r>
        <w:rPr>
          <w:rFonts w:ascii="Times New Roman" w:hAnsi="Times New Roman"/>
          <w:b/>
          <w:sz w:val="18"/>
        </w:rPr>
        <w:t>SECTION 906 OF THE SARBANES-OXLEY ACT OF 2002</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In connection with the Annual Report of Revolution Medicines, Inc. (the “Company”) on Form 10-K for the period ending December 31, 2021 as filed with the Securities and Exchange Commission on the date hereof (the “Report”), I certify, pursuant to 18 U.S.C. § 1350, as adopted pursuant to § 906 of the Sarbanes-Oxley Act of 2002, that:</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(1)</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The Report fully complies with the requirements of section 13(a) or 15(d) of the Securities Exchange Act of 1934; and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(2)</w:t>
      </w:r>
    </w:p>
    <w:p>
      <w:pPr>
        <w:pStyle w:val="TextBody"/>
        <w:spacing w:lineRule="auto" w:line="273" w:before="240" w:after="283"/>
        <w:jc w:val="left"/>
        <w:rPr>
          <w:rFonts w:ascii="Times New Roman" w:hAnsi="Times New Roman"/>
          <w:b w:val="false"/>
          <w:sz w:val="18"/>
        </w:rPr>
      </w:pPr>
      <w:r>
        <w:rPr>
          <w:rFonts w:ascii="Times New Roman" w:hAnsi="Times New Roman"/>
          <w:b w:val="false"/>
          <w:sz w:val="18"/>
        </w:rPr>
        <w:t>The information contained in the Report fairly presents, in all material respects, the financial condition and result of operations of the Company.</w:t>
      </w:r>
    </w:p>
    <w:p>
      <w:pPr>
        <w:pStyle w:val="TextBody"/>
        <w:spacing w:lineRule="auto" w:line="273" w:before="0" w:after="0"/>
        <w:jc w:val="left"/>
        <w:rPr/>
      </w:pPr>
      <w:r>
        <w:rPr/>
        <w:t> </w:t>
      </w:r>
    </w:p>
    <w:tbl>
      <w:tblPr>
        <w:tblW w:w="5058" w:type="dxa"/>
        <w:jc w:val="left"/>
        <w:tblInd w:w="0" w:type="dxa"/>
        <w:tblCellMar>
          <w:top w:w="28" w:type="dxa"/>
          <w:left w:w="28" w:type="dxa"/>
          <w:bottom w:w="28" w:type="dxa"/>
          <w:right w:w="28" w:type="dxa"/>
        </w:tblCellMar>
      </w:tblPr>
      <w:tblGrid>
        <w:gridCol w:w="1861"/>
        <w:gridCol w:w="361"/>
        <w:gridCol w:w="2836"/>
      </w:tblGrid>
      <w:tr>
        <w:trPr/>
        <w:tc>
          <w:tcPr>
            <w:tcW w:w="18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836"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Date: February 28, 2022</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By:</w:t>
            </w:r>
          </w:p>
        </w:tc>
        <w:tc>
          <w:tcPr>
            <w:tcW w:w="283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/s/ Mark A. Goldsmith</w:t>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8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Mark A. Goldsmith, M.D., Ph.D.</w:t>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8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President and Chief Executive Officer</w:t>
            </w:r>
          </w:p>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(Principal Executive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51" w:name="rvmd-ex32_2.htm"/>
      <w:bookmarkStart w:id="52" w:name="ksrvmdex32_2"/>
      <w:bookmarkEnd w:id="51"/>
      <w:bookmarkEnd w:id="52"/>
      <w:r>
        <w:rPr/>
        <w:t> </w:t>
      </w:r>
    </w:p>
    <w:p>
      <w:pPr>
        <w:pStyle w:val="TextBody"/>
        <w:spacing w:lineRule="auto" w:line="273" w:before="0" w:after="0"/>
        <w:jc w:val="right"/>
        <w:rPr>
          <w:rFonts w:ascii="Times New Roman" w:hAnsi="Times New Roman"/>
          <w:b/>
          <w:sz w:val="18"/>
        </w:rPr>
      </w:pPr>
      <w:r>
        <w:rPr>
          <w:rFonts w:ascii="Times New Roman" w:hAnsi="Times New Roman"/>
          <w:b/>
          <w:sz w:val="18"/>
        </w:rPr>
        <w:t>Exhibit 32.2</w:t>
      </w:r>
    </w:p>
    <w:p>
      <w:pPr>
        <w:pStyle w:val="TextBody"/>
        <w:spacing w:lineRule="auto" w:line="273" w:before="360" w:after="0"/>
        <w:jc w:val="center"/>
        <w:rPr>
          <w:rFonts w:ascii="Times New Roman" w:hAnsi="Times New Roman"/>
          <w:b/>
          <w:sz w:val="18"/>
        </w:rPr>
      </w:pPr>
      <w:r>
        <w:rPr>
          <w:rFonts w:ascii="Times New Roman" w:hAnsi="Times New Roman"/>
          <w:b/>
          <w:sz w:val="18"/>
        </w:rPr>
        <w:t>CERTIFICATION PURSUANT TO</w:t>
      </w:r>
    </w:p>
    <w:p>
      <w:pPr>
        <w:pStyle w:val="TextBody"/>
        <w:spacing w:lineRule="auto" w:line="273" w:before="0" w:after="0"/>
        <w:jc w:val="center"/>
        <w:rPr>
          <w:rFonts w:ascii="Times New Roman" w:hAnsi="Times New Roman"/>
          <w:b/>
          <w:sz w:val="18"/>
        </w:rPr>
      </w:pPr>
      <w:r>
        <w:rPr>
          <w:rFonts w:ascii="Times New Roman" w:hAnsi="Times New Roman"/>
          <w:b/>
          <w:sz w:val="18"/>
        </w:rPr>
        <w:t>18 U.S.C. SECTION 1350, AS ADOPTED PURSUANT TO</w:t>
      </w:r>
    </w:p>
    <w:p>
      <w:pPr>
        <w:pStyle w:val="TextBody"/>
        <w:spacing w:lineRule="auto" w:line="273" w:before="0" w:after="0"/>
        <w:jc w:val="center"/>
        <w:rPr>
          <w:rFonts w:ascii="Times New Roman" w:hAnsi="Times New Roman"/>
          <w:b/>
          <w:sz w:val="18"/>
        </w:rPr>
      </w:pPr>
      <w:r>
        <w:rPr>
          <w:rFonts w:ascii="Times New Roman" w:hAnsi="Times New Roman"/>
          <w:b/>
          <w:sz w:val="18"/>
        </w:rPr>
        <w:t>SECTION 906 OF THE SARBANES-OXLEY ACT OF 2002</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In connection with the Annual Report of Revolution Medicines, Inc. (the “Company”) on Form 10-K for the period ending December 31, 2021 as filed with the Securities and Exchange Commission on the date hereof (the “Report”), I certify, pursuant to 18 U.S.C. § 1350, as adopted pursuant to § 906 of the Sarbanes-Oxley Act of 2002, that:</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(1)</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The Report fully complies with the requirements of section 13(a) or 15(d) of the Securities Exchange Act of 1934; and</w:t>
      </w:r>
    </w:p>
    <w:p>
      <w:pPr>
        <w:pStyle w:val="TextBody"/>
        <w:spacing w:lineRule="auto" w:line="273" w:before="240" w:after="0"/>
        <w:jc w:val="left"/>
        <w:rPr>
          <w:rFonts w:ascii="Times New Roman" w:hAnsi="Times New Roman"/>
          <w:b w:val="false"/>
          <w:sz w:val="18"/>
        </w:rPr>
      </w:pPr>
      <w:r>
        <w:rPr>
          <w:rFonts w:ascii="Times New Roman" w:hAnsi="Times New Roman"/>
          <w:b w:val="false"/>
          <w:sz w:val="18"/>
        </w:rPr>
        <w:t>(2)</w:t>
      </w:r>
    </w:p>
    <w:p>
      <w:pPr>
        <w:pStyle w:val="TextBody"/>
        <w:spacing w:lineRule="auto" w:line="273" w:before="240" w:after="283"/>
        <w:jc w:val="left"/>
        <w:rPr>
          <w:rFonts w:ascii="Times New Roman" w:hAnsi="Times New Roman"/>
          <w:b w:val="false"/>
          <w:sz w:val="18"/>
        </w:rPr>
      </w:pPr>
      <w:r>
        <w:rPr>
          <w:rFonts w:ascii="Times New Roman" w:hAnsi="Times New Roman"/>
          <w:b w:val="false"/>
          <w:sz w:val="18"/>
        </w:rPr>
        <w:t>The information contained in the Report fairly presents, in all material respects, the financial condition and result of operations of the Company.</w:t>
      </w:r>
    </w:p>
    <w:p>
      <w:pPr>
        <w:pStyle w:val="TextBody"/>
        <w:spacing w:lineRule="auto" w:line="273" w:before="0" w:after="0"/>
        <w:jc w:val="left"/>
        <w:rPr/>
      </w:pPr>
      <w:r>
        <w:rPr/>
        <w:t> </w:t>
      </w:r>
    </w:p>
    <w:tbl>
      <w:tblPr>
        <w:tblW w:w="6963" w:type="dxa"/>
        <w:jc w:val="left"/>
        <w:tblInd w:w="0" w:type="dxa"/>
        <w:tblCellMar>
          <w:top w:w="28" w:type="dxa"/>
          <w:left w:w="28" w:type="dxa"/>
          <w:bottom w:w="28" w:type="dxa"/>
          <w:right w:w="28" w:type="dxa"/>
        </w:tblCellMar>
      </w:tblPr>
      <w:tblGrid>
        <w:gridCol w:w="1861"/>
        <w:gridCol w:w="361"/>
        <w:gridCol w:w="4741"/>
      </w:tblGrid>
      <w:tr>
        <w:trPr/>
        <w:tc>
          <w:tcPr>
            <w:tcW w:w="186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474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Date: February 28, 2022</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By:</w:t>
            </w:r>
          </w:p>
        </w:tc>
        <w:tc>
          <w:tcPr>
            <w:tcW w:w="474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/s/ Jack Anders</w:t>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Jack Anders</w:t>
            </w:r>
          </w:p>
        </w:tc>
      </w:tr>
      <w:tr>
        <w:trPr/>
        <w:tc>
          <w:tcPr>
            <w:tcW w:w="18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Senior Vice President, Finance and Principal Accounting Officer</w:t>
            </w:r>
          </w:p>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(Principal Financial and Accounting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628171/000119312520040328/d848154dex31.htm" TargetMode="External"/><Relationship Id="rId12" Type="http://schemas.openxmlformats.org/officeDocument/2006/relationships/hyperlink" Target="https://www.sec.gov/Archives/edgar/data/1628171/000119312521073330/d144671dex31.htm" TargetMode="External"/><Relationship Id="rId13" Type="http://schemas.openxmlformats.org/officeDocument/2006/relationships/hyperlink" Target="https://www.sec.gov/Archives/edgar/data/1628171/000119312520022117/d799036dex33.htm" TargetMode="External"/><Relationship Id="rId14" Type="http://schemas.openxmlformats.org/officeDocument/2006/relationships/hyperlink" Target="https://www.sec.gov/Archives/edgar/data/1628171/000119312520022117/d799036dex35.htm" TargetMode="External"/><Relationship Id="rId15" Type="http://schemas.openxmlformats.org/officeDocument/2006/relationships/hyperlink" Target="https://www.sec.gov/Archives/edgar/data/0001628171/000119312520010145/d799036dex42.htm" TargetMode="External"/><Relationship Id="rId16" Type="http://schemas.openxmlformats.org/officeDocument/2006/relationships/hyperlink" Target="https://www.sec.gov/Archives/edgar/data/0001628171/000119312520010145/d799036dex101.htm" TargetMode="External"/><Relationship Id="rId17" Type="http://schemas.openxmlformats.org/officeDocument/2006/relationships/hyperlink" Target="https://www.sec.gov/Archives/edgar/data/1628171/000156459021043424/rvmd-ex102_557.htm" TargetMode="External"/><Relationship Id="rId18" Type="http://schemas.openxmlformats.org/officeDocument/2006/relationships/hyperlink" Target="https://www.sec.gov/Archives/edgar/data/0001628171/000119312520010145/d799036dex102.htm" TargetMode="External"/><Relationship Id="rId19" Type="http://schemas.openxmlformats.org/officeDocument/2006/relationships/hyperlink" Target="https://www.sec.gov/Archives/edgar/data/0001628171/000119312520010145/d799036dex103a.htm" TargetMode="External"/><Relationship Id="rId20" Type="http://schemas.openxmlformats.org/officeDocument/2006/relationships/hyperlink" Target="https://www.sec.gov/Archives/edgar/data/0001628171/000119312520010145/d799036dex103b.htm" TargetMode="External"/><Relationship Id="rId21" Type="http://schemas.openxmlformats.org/officeDocument/2006/relationships/hyperlink" Target="https://www.sec.gov/Archives/edgar/data/0001628171/000119312520010145/d799036dex103c.htm" TargetMode="External"/><Relationship Id="rId22" Type="http://schemas.openxmlformats.org/officeDocument/2006/relationships/hyperlink" Target="https://www.sec.gov/Archives/edgar/data/1628171/000156459020025452/rvmd-ex104_131.htm" TargetMode="External"/><Relationship Id="rId23" Type="http://schemas.openxmlformats.org/officeDocument/2006/relationships/hyperlink" Target="https://www.sec.gov/Archives/edgar/data/1628171/000156459021056191/rvmd-ex101_106.htm" TargetMode="External"/><Relationship Id="rId24" Type="http://schemas.openxmlformats.org/officeDocument/2006/relationships/hyperlink" Target="https://www.sec.gov/Archives/edgar/data/1628171/000156459021056191/rvmd-ex101_106.htm" TargetMode="External"/><Relationship Id="rId25" Type="http://schemas.openxmlformats.org/officeDocument/2006/relationships/hyperlink" Target="https://www.sec.gov/Archives/edgar/data/0001628171/000119312520010145/d799036dex106a.htm" TargetMode="External"/><Relationship Id="rId26" Type="http://schemas.openxmlformats.org/officeDocument/2006/relationships/hyperlink" Target="https://www.sec.gov/Archives/edgar/data/0001628171/000119312520010145/d799036dex106b.htm" TargetMode="External"/><Relationship Id="rId27" Type="http://schemas.openxmlformats.org/officeDocument/2006/relationships/hyperlink" Target="https://www.sec.gov/Archives/edgar/data/0001628171/000119312520022117/d799036dex107a.htm" TargetMode="External"/><Relationship Id="rId28" Type="http://schemas.openxmlformats.org/officeDocument/2006/relationships/hyperlink" Target="https://www.sec.gov/Archives/edgar/data/0001628171/000119312520022117/d799036dex107b.htm" TargetMode="External"/><Relationship Id="rId29" Type="http://schemas.openxmlformats.org/officeDocument/2006/relationships/hyperlink" Target="https://www.sec.gov/Archives/edgar/data/0001628171/000119312520022117/d799036dex107c.htm" TargetMode="External"/><Relationship Id="rId30" Type="http://schemas.openxmlformats.org/officeDocument/2006/relationships/hyperlink" Target="https://www.sec.gov/Archives/edgar/data/0001628171/000119312520022117/d799036dex107d.htm" TargetMode="External"/><Relationship Id="rId31" Type="http://schemas.openxmlformats.org/officeDocument/2006/relationships/hyperlink" Target="https://www.sec.gov/Archives/edgar/data/0001628171/000119312520022117/d799036dex108.htm" TargetMode="External"/><Relationship Id="rId32" Type="http://schemas.openxmlformats.org/officeDocument/2006/relationships/hyperlink" Target="https://www.sec.gov/Archives/edgar/data/0001628171/000119312520010145/d799036dex109.htm" TargetMode="External"/><Relationship Id="rId33" Type="http://schemas.openxmlformats.org/officeDocument/2006/relationships/hyperlink" Target="https://www.sec.gov/Archives/edgar/data/0001628171/000119312520010145/d799036dex1010.htm" TargetMode="External"/><Relationship Id="rId34" Type="http://schemas.openxmlformats.org/officeDocument/2006/relationships/hyperlink" Target="https://www.sec.gov/Archives/edgar/data/0001628171/000119312520010145/d799036dex1011.htm" TargetMode="External"/><Relationship Id="rId35" Type="http://schemas.openxmlformats.org/officeDocument/2006/relationships/hyperlink" Target="https://www.sec.gov/Archives/edgar/data/1628171/000119312520187824/d911041dex1012.htm" TargetMode="External"/><Relationship Id="rId36" Type="http://schemas.openxmlformats.org/officeDocument/2006/relationships/hyperlink" Target="https://www.sec.gov/Archives/edgar/data/1628171/000119312520022117/d799036dex1013.htm" TargetMode="External"/><Relationship Id="rId37" Type="http://schemas.openxmlformats.org/officeDocument/2006/relationships/hyperlink" Target="https://www.sec.gov/Archives/edgar/data/1628171/000119312520010145/d799036dex21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16</Pages>
  <Words>88500</Words>
  <CharactersWithSpaces>588541</CharactersWithSpaces>
  <Paragraphs>8943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