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Anders Jack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REVOLUTION MEDICINES,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SAGINAW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Revolution Medicines,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RVMD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5"/>
        <w:gridCol w:w="925"/>
        <w:gridCol w:w="793"/>
        <w:gridCol w:w="614"/>
        <w:gridCol w:w="346"/>
        <w:gridCol w:w="830"/>
        <w:gridCol w:w="435"/>
        <w:gridCol w:w="1044"/>
        <w:gridCol w:w="1177"/>
        <w:gridCol w:w="98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0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195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123,208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3,992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199.3032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119,216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Rule 10b5-1 instruction letter adopted on May 31, 2023 to satisfy the Reporting Person's tax withholding obligation upon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43,650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Jack Anders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00668" TargetMode="External"/><Relationship Id="rId5" Type="http://schemas.openxmlformats.org/officeDocument/2006/relationships/hyperlink" Target="http://www.sec.gov/cgi-bin/browse-edgar?action=getcompany&amp;CIK=00016281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609</Words>
  <Characters>3328</Characters>
  <CharactersWithSpaces>3860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