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REVOLUTION MEDICINES,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76155X100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22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660" w:right="7820" w:hanging="405"/>
        <w:spacing w:after="0" w:line="457" w:lineRule="auto"/>
        <w:tabs>
          <w:tab w:leader="none" w:pos="663"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PERSONS The Column Group III, LP</w:t>
      </w:r>
    </w:p>
    <w:p>
      <w:pPr>
        <w:spacing w:after="0" w:line="1" w:lineRule="exact"/>
        <w:rPr>
          <w:rFonts w:ascii="Arial" w:cs="Arial" w:eastAsia="Arial" w:hAnsi="Arial"/>
          <w:sz w:val="16"/>
          <w:szCs w:val="16"/>
          <w:color w:val="auto"/>
        </w:rPr>
      </w:pPr>
    </w:p>
    <w:p>
      <w:pPr>
        <w:ind w:left="660" w:hanging="40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0575"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220970"/>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920" w:hanging="405"/>
        <w:spacing w:after="0" w:line="40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19"/>
        <w:spacing w:after="0"/>
        <w:tabs>
          <w:tab w:leader="none" w:pos="2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1,681,391 (1)</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1,681,391 (1)</w:t>
      </w:r>
    </w:p>
    <w:p>
      <w:pPr>
        <w:spacing w:after="0" w:line="36" w:lineRule="exact"/>
        <w:rPr>
          <w:sz w:val="20"/>
          <w:szCs w:val="20"/>
          <w:color w:val="auto"/>
        </w:rPr>
      </w:pPr>
    </w:p>
    <w:p>
      <w:pPr>
        <w:ind w:left="660" w:right="4060" w:hanging="405"/>
        <w:spacing w:after="0" w:line="406"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1,681,391 (1)</w:t>
      </w:r>
    </w:p>
    <w:p>
      <w:pPr>
        <w:spacing w:after="0" w:line="1" w:lineRule="exact"/>
        <w:rPr>
          <w:rFonts w:ascii="Arial" w:cs="Arial" w:eastAsia="Arial" w:hAnsi="Arial"/>
          <w:sz w:val="18"/>
          <w:szCs w:val="18"/>
          <w:color w:val="auto"/>
        </w:rPr>
      </w:pPr>
    </w:p>
    <w:p>
      <w:pPr>
        <w:ind w:left="660" w:hanging="495"/>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95"/>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2.3% (2)</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such shares are held of record by TCG III LP (as defined in Item 2(a) below). TCG III GP LP (as defined in Item 2(a) below) is the general partner of TCG III LP and may be deemed to have voting, investment and dispositive power with respect to these securities. Peter Svennilson, David Goeddel and Tim Kutzkey are the managing partners of TCG III GP LP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72,991,419 shares of Common Stock outstanding, including the full exercise by the underwriters of their option to purchase additional shares, as reported by the Issuer in its final prospectus dated February 3, 2021 and filed with the Securities and Exchange Commission on February 5, 2021 pursuant to Rule 424(b)(4) under the Securities Act of 1933, as amended (the “Prospectus”).</w:t>
      </w:r>
    </w:p>
    <w:p>
      <w:pPr>
        <w:sectPr>
          <w:pgSz w:w="11900" w:h="16838" w:orient="portrait"/>
          <w:cols w:equalWidth="0" w:num="1">
            <w:col w:w="11260"/>
          </w:cols>
          <w:pgMar w:left="320" w:top="274"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660" w:right="7820" w:hanging="405"/>
        <w:spacing w:after="0" w:line="457" w:lineRule="auto"/>
        <w:tabs>
          <w:tab w:leader="none" w:pos="663"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The Column Group III-A, LP</w:t>
      </w:r>
    </w:p>
    <w:p>
      <w:pPr>
        <w:spacing w:after="0" w:line="1" w:lineRule="exact"/>
        <w:rPr>
          <w:rFonts w:ascii="Arial" w:cs="Arial" w:eastAsia="Arial" w:hAnsi="Arial"/>
          <w:sz w:val="16"/>
          <w:szCs w:val="16"/>
          <w:color w:val="auto"/>
        </w:rPr>
      </w:pPr>
    </w:p>
    <w:p>
      <w:pPr>
        <w:ind w:left="660" w:hanging="40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057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220335"/>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920" w:hanging="405"/>
        <w:spacing w:after="0" w:line="40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19"/>
        <w:spacing w:after="0"/>
        <w:tabs>
          <w:tab w:leader="none" w:pos="22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1,898,815 (1)</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1,898,815 (1)</w:t>
      </w:r>
    </w:p>
    <w:p>
      <w:pPr>
        <w:spacing w:after="0" w:line="36" w:lineRule="exact"/>
        <w:rPr>
          <w:sz w:val="20"/>
          <w:szCs w:val="20"/>
          <w:color w:val="auto"/>
        </w:rPr>
      </w:pPr>
    </w:p>
    <w:p>
      <w:pPr>
        <w:ind w:left="660" w:right="4060" w:hanging="405"/>
        <w:spacing w:after="0" w:line="406" w:lineRule="auto"/>
        <w:tabs>
          <w:tab w:leader="none" w:pos="6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1,898,815 (1)</w:t>
      </w:r>
    </w:p>
    <w:p>
      <w:pPr>
        <w:spacing w:after="0" w:line="1" w:lineRule="exact"/>
        <w:rPr>
          <w:rFonts w:ascii="Arial" w:cs="Arial" w:eastAsia="Arial" w:hAnsi="Arial"/>
          <w:sz w:val="18"/>
          <w:szCs w:val="18"/>
          <w:color w:val="auto"/>
        </w:rPr>
      </w:pPr>
    </w:p>
    <w:p>
      <w:pPr>
        <w:ind w:left="660" w:hanging="495"/>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95"/>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2.6% (2)</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such shares are held of record by TCG III-A LP (as defined in Item 2(a) below). TCG III GP LP is the general partner of TCG III-A LP and may be deemed to have voting, investment and dispositive power with respect to these securities. Peter Svennilson, David Goeddel and Tim Kutzkey are the managing partners of TCG III GP LP and may each be deemed to share voting, investment and dispositive power with respect to these securities.</w:t>
      </w:r>
    </w:p>
    <w:p>
      <w:pPr>
        <w:spacing w:after="0" w:line="2" w:lineRule="exact"/>
        <w:rPr>
          <w:rFonts w:ascii="Arial" w:cs="Arial" w:eastAsia="Arial" w:hAnsi="Arial"/>
          <w:sz w:val="16"/>
          <w:szCs w:val="16"/>
          <w:color w:val="auto"/>
        </w:rPr>
      </w:pPr>
    </w:p>
    <w:p>
      <w:pPr>
        <w:ind w:left="460" w:right="420" w:hanging="452"/>
        <w:spacing w:after="0" w:line="26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72,991,419 shares of Common Stock outstanding, including the full exercise by the underwriters of their option to purchase additional shares, as reported by the Issuer in its Prospectus.</w:t>
      </w:r>
    </w:p>
    <w:p>
      <w:pPr>
        <w:sectPr>
          <w:pgSz w:w="11900" w:h="16838" w:orient="portrait"/>
          <w:cols w:equalWidth="0" w:num="1">
            <w:col w:w="11260"/>
          </w:cols>
          <w:pgMar w:left="320" w:top="274"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660" w:right="7820" w:hanging="405"/>
        <w:spacing w:after="0" w:line="457" w:lineRule="auto"/>
        <w:tabs>
          <w:tab w:leader="none" w:pos="663"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The Column Group III GP, LP</w:t>
      </w:r>
    </w:p>
    <w:p>
      <w:pPr>
        <w:spacing w:after="0" w:line="1" w:lineRule="exact"/>
        <w:rPr>
          <w:rFonts w:ascii="Arial" w:cs="Arial" w:eastAsia="Arial" w:hAnsi="Arial"/>
          <w:sz w:val="16"/>
          <w:szCs w:val="16"/>
          <w:color w:val="auto"/>
        </w:rPr>
      </w:pPr>
    </w:p>
    <w:p>
      <w:pPr>
        <w:ind w:left="660" w:hanging="405"/>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0575"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220970"/>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920" w:hanging="405"/>
        <w:spacing w:after="0" w:line="40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19"/>
        <w:spacing w:after="0"/>
        <w:tabs>
          <w:tab w:leader="none" w:pos="2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3,580,206 (1)</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3,580,206 (1)</w:t>
      </w:r>
    </w:p>
    <w:p>
      <w:pPr>
        <w:spacing w:after="0" w:line="36" w:lineRule="exact"/>
        <w:rPr>
          <w:sz w:val="20"/>
          <w:szCs w:val="20"/>
          <w:color w:val="auto"/>
        </w:rPr>
      </w:pPr>
    </w:p>
    <w:p>
      <w:pPr>
        <w:ind w:left="660" w:right="4060" w:hanging="405"/>
        <w:spacing w:after="0" w:line="406" w:lineRule="auto"/>
        <w:tabs>
          <w:tab w:leader="none" w:pos="6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3,580,206 (1)</w:t>
      </w:r>
    </w:p>
    <w:p>
      <w:pPr>
        <w:spacing w:after="0" w:line="1" w:lineRule="exact"/>
        <w:rPr>
          <w:rFonts w:ascii="Arial" w:cs="Arial" w:eastAsia="Arial" w:hAnsi="Arial"/>
          <w:sz w:val="18"/>
          <w:szCs w:val="18"/>
          <w:color w:val="auto"/>
        </w:rPr>
      </w:pPr>
    </w:p>
    <w:p>
      <w:pPr>
        <w:ind w:left="660" w:hanging="495"/>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95"/>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4.9% (2)</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60" w:right="32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1,681,391 shares are held of record by TCG III LP and (ii) 1,898,815 shares held by TCG III-A LP. TCG III GP LP is the general partner of each of TCG III LP and TCG III-A LP and may be deemed to have voting, investment and dispositive power with respect to these securities. Peter Svennilson, David Goeddel and Tim Kutzkey the managing partners of TCG III GP LP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60" w:right="420" w:hanging="452"/>
        <w:spacing w:after="0" w:line="26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72,991,419 shares of Common Stock outstanding, including the full exercise by the underwriters of their option to purchase additional shares, as reported by the Issuer in its Prospectus.</w:t>
      </w:r>
    </w:p>
    <w:p>
      <w:pPr>
        <w:sectPr>
          <w:pgSz w:w="11900" w:h="16838" w:orient="portrait"/>
          <w:cols w:equalWidth="0" w:num="1">
            <w:col w:w="11260"/>
          </w:cols>
          <w:pgMar w:left="320" w:top="274"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660" w:right="7820" w:hanging="405"/>
        <w:spacing w:after="0" w:line="40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 Ponoi Capital, LP</w:t>
      </w:r>
    </w:p>
    <w:p>
      <w:pPr>
        <w:spacing w:after="0" w:line="1" w:lineRule="exact"/>
        <w:rPr>
          <w:rFonts w:ascii="Arial" w:cs="Arial" w:eastAsia="Arial" w:hAnsi="Arial"/>
          <w:sz w:val="18"/>
          <w:szCs w:val="18"/>
          <w:color w:val="auto"/>
        </w:rPr>
      </w:pPr>
    </w:p>
    <w:p>
      <w:pPr>
        <w:ind w:left="660" w:hanging="405"/>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0575"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220335"/>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920" w:hanging="405"/>
        <w:spacing w:after="0" w:line="40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19"/>
        <w:spacing w:after="0"/>
        <w:tabs>
          <w:tab w:leader="none" w:pos="22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685,011 (1)</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685,011 (1)</w:t>
      </w:r>
    </w:p>
    <w:p>
      <w:pPr>
        <w:spacing w:after="0" w:line="36" w:lineRule="exact"/>
        <w:rPr>
          <w:sz w:val="20"/>
          <w:szCs w:val="20"/>
          <w:color w:val="auto"/>
        </w:rPr>
      </w:pPr>
    </w:p>
    <w:p>
      <w:pPr>
        <w:ind w:left="660" w:right="4060" w:hanging="405"/>
        <w:spacing w:after="0" w:line="406"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685,011 (1)</w:t>
      </w:r>
    </w:p>
    <w:p>
      <w:pPr>
        <w:spacing w:after="0" w:line="1" w:lineRule="exact"/>
        <w:rPr>
          <w:rFonts w:ascii="Arial" w:cs="Arial" w:eastAsia="Arial" w:hAnsi="Arial"/>
          <w:sz w:val="18"/>
          <w:szCs w:val="18"/>
          <w:color w:val="auto"/>
        </w:rPr>
      </w:pPr>
    </w:p>
    <w:p>
      <w:pPr>
        <w:ind w:left="660" w:hanging="495"/>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95"/>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0.9% (2)</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such shares are held of record by Ponoi LP (as defined in Item 2(a) below). Ponoi LLC (as defined in Item 2(a) below) is the general partner of Ponoi LP and may be deemed to have voting, investment and dispositive power with respect to these securities. Peter Svennilson, David Goeddel and Tim Kutzkey are the managing members of Ponoi LLC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60" w:right="420" w:hanging="452"/>
        <w:spacing w:after="0" w:line="26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72,991,419 shares of Common Stock outstanding, including the full exercise by the underwriters of their option to purchase additional shares, as reported by the Issuer in its Prospectus.</w:t>
      </w:r>
    </w:p>
    <w:p>
      <w:pPr>
        <w:sectPr>
          <w:pgSz w:w="11900" w:h="16838" w:orient="portrait"/>
          <w:cols w:equalWidth="0" w:num="1">
            <w:col w:w="11260"/>
          </w:cols>
          <w:pgMar w:left="320" w:top="274"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660" w:right="7820" w:hanging="405"/>
        <w:spacing w:after="0" w:line="430"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NAMES OF REPORTING PERSONS Ponoi Management, LLC</w:t>
      </w:r>
    </w:p>
    <w:p>
      <w:pPr>
        <w:spacing w:after="0" w:line="1" w:lineRule="exact"/>
        <w:rPr>
          <w:rFonts w:ascii="Arial" w:cs="Arial" w:eastAsia="Arial" w:hAnsi="Arial"/>
          <w:sz w:val="17"/>
          <w:szCs w:val="17"/>
          <w:color w:val="auto"/>
        </w:rPr>
      </w:pPr>
    </w:p>
    <w:p>
      <w:pPr>
        <w:ind w:left="660" w:hanging="405"/>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0575"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5220970"/>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920" w:hanging="405"/>
        <w:spacing w:after="0" w:line="40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19"/>
        <w:spacing w:after="0"/>
        <w:tabs>
          <w:tab w:leader="none" w:pos="2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685,011 (1)</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685,011 (1)</w:t>
      </w:r>
    </w:p>
    <w:p>
      <w:pPr>
        <w:spacing w:after="0" w:line="36" w:lineRule="exact"/>
        <w:rPr>
          <w:sz w:val="20"/>
          <w:szCs w:val="20"/>
          <w:color w:val="auto"/>
        </w:rPr>
      </w:pPr>
    </w:p>
    <w:p>
      <w:pPr>
        <w:ind w:left="660" w:right="4060" w:hanging="405"/>
        <w:spacing w:after="0" w:line="406"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685,011 (1)</w:t>
      </w:r>
    </w:p>
    <w:p>
      <w:pPr>
        <w:spacing w:after="0" w:line="1" w:lineRule="exact"/>
        <w:rPr>
          <w:rFonts w:ascii="Arial" w:cs="Arial" w:eastAsia="Arial" w:hAnsi="Arial"/>
          <w:sz w:val="18"/>
          <w:szCs w:val="18"/>
          <w:color w:val="auto"/>
        </w:rPr>
      </w:pPr>
    </w:p>
    <w:p>
      <w:pPr>
        <w:ind w:left="660" w:hanging="49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9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0.9% (2)</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right="160" w:hanging="452"/>
        <w:spacing w:after="0" w:line="271"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such shares are held of record by Ponoi LP. Ponoi LLC is the general partner of Ponoi LP and may be deemed to have voting, investment and dispositive power with respect to these securities. Peter Svennilson, David Goeddel and Tim Kutzkey are the managing members of Ponoi LLC and may each be deemed to share voting, investment and dispositive power with respect to these securities.</w:t>
      </w:r>
    </w:p>
    <w:p>
      <w:pPr>
        <w:ind w:left="460" w:right="420" w:hanging="452"/>
        <w:spacing w:after="0" w:line="26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72,991,419 shares of Common Stock outstanding, including the full exercise by the underwriters of their option to purchase additional shares, as reported by the Issuer in its Prospectus.</w:t>
      </w:r>
    </w:p>
    <w:p>
      <w:pPr>
        <w:sectPr>
          <w:pgSz w:w="11900" w:h="16838" w:orient="portrait"/>
          <w:cols w:equalWidth="0" w:num="1">
            <w:col w:w="11260"/>
          </w:cols>
          <w:pgMar w:left="320" w:top="274"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660" w:right="7820" w:hanging="405"/>
        <w:spacing w:after="0" w:line="40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 Ponoi Capital II, LP</w:t>
      </w:r>
    </w:p>
    <w:p>
      <w:pPr>
        <w:spacing w:after="0" w:line="1" w:lineRule="exact"/>
        <w:rPr>
          <w:rFonts w:ascii="Arial" w:cs="Arial" w:eastAsia="Arial" w:hAnsi="Arial"/>
          <w:sz w:val="18"/>
          <w:szCs w:val="18"/>
          <w:color w:val="auto"/>
        </w:rPr>
      </w:pPr>
    </w:p>
    <w:p>
      <w:pPr>
        <w:ind w:left="660" w:hanging="40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0575"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5220335"/>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920" w:hanging="405"/>
        <w:spacing w:after="0" w:line="40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19"/>
        <w:spacing w:after="0"/>
        <w:tabs>
          <w:tab w:leader="none" w:pos="22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685,011 (1)</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685,011 (1)</w:t>
      </w:r>
    </w:p>
    <w:p>
      <w:pPr>
        <w:spacing w:after="0" w:line="36" w:lineRule="exact"/>
        <w:rPr>
          <w:sz w:val="20"/>
          <w:szCs w:val="20"/>
          <w:color w:val="auto"/>
        </w:rPr>
      </w:pPr>
    </w:p>
    <w:p>
      <w:pPr>
        <w:ind w:left="660" w:right="4060" w:hanging="405"/>
        <w:spacing w:after="0" w:line="406"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685,011 (1)</w:t>
      </w:r>
    </w:p>
    <w:p>
      <w:pPr>
        <w:spacing w:after="0" w:line="1" w:lineRule="exact"/>
        <w:rPr>
          <w:rFonts w:ascii="Arial" w:cs="Arial" w:eastAsia="Arial" w:hAnsi="Arial"/>
          <w:sz w:val="18"/>
          <w:szCs w:val="18"/>
          <w:color w:val="auto"/>
        </w:rPr>
      </w:pPr>
    </w:p>
    <w:p>
      <w:pPr>
        <w:ind w:left="660" w:hanging="495"/>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95"/>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0.9% (2)</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60" w:right="10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such shares are held of record by Ponoi II LP (as defined in Item 2(a) below). Ponoi II LLC (as defined in Item 2(a) below) is the general partner of Ponoi II LP and may be deemed to have voting, investment and dispositive power with respect to these securities. Peter Svennilson, David Goeddel and Tim Kutzkey are the managing members of Ponoi II LLC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60" w:right="420" w:hanging="452"/>
        <w:spacing w:after="0" w:line="26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72,991,419 shares of Common Stock outstanding, including the full exercise by the underwriters of their option to purchase additional shares, as reported by the Issuer in its Prospectus.</w:t>
      </w:r>
    </w:p>
    <w:p>
      <w:pPr>
        <w:sectPr>
          <w:pgSz w:w="11900" w:h="16838" w:orient="portrait"/>
          <w:cols w:equalWidth="0" w:num="1">
            <w:col w:w="11260"/>
          </w:cols>
          <w:pgMar w:left="320" w:top="274"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660" w:right="7820" w:hanging="405"/>
        <w:spacing w:after="0" w:line="45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NAMES OF REPORTING PERSONS Ponoi II Management, LLC</w:t>
      </w:r>
    </w:p>
    <w:p>
      <w:pPr>
        <w:spacing w:after="0" w:line="1" w:lineRule="exact"/>
        <w:rPr>
          <w:rFonts w:ascii="Arial" w:cs="Arial" w:eastAsia="Arial" w:hAnsi="Arial"/>
          <w:sz w:val="16"/>
          <w:szCs w:val="16"/>
          <w:color w:val="auto"/>
        </w:rPr>
      </w:pPr>
    </w:p>
    <w:p>
      <w:pPr>
        <w:ind w:left="660" w:hanging="40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0575"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5220970"/>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920" w:hanging="405"/>
        <w:spacing w:after="0" w:line="40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19"/>
        <w:spacing w:after="0"/>
        <w:tabs>
          <w:tab w:leader="none" w:pos="22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685,011 (1)</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685,011 (1)</w:t>
      </w:r>
    </w:p>
    <w:p>
      <w:pPr>
        <w:spacing w:after="0" w:line="36" w:lineRule="exact"/>
        <w:rPr>
          <w:sz w:val="20"/>
          <w:szCs w:val="20"/>
          <w:color w:val="auto"/>
        </w:rPr>
      </w:pPr>
    </w:p>
    <w:p>
      <w:pPr>
        <w:ind w:left="660" w:right="4060" w:hanging="405"/>
        <w:spacing w:after="0" w:line="406"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685,011 (1)</w:t>
      </w:r>
    </w:p>
    <w:p>
      <w:pPr>
        <w:spacing w:after="0" w:line="1" w:lineRule="exact"/>
        <w:rPr>
          <w:rFonts w:ascii="Arial" w:cs="Arial" w:eastAsia="Arial" w:hAnsi="Arial"/>
          <w:sz w:val="18"/>
          <w:szCs w:val="18"/>
          <w:color w:val="auto"/>
        </w:rPr>
      </w:pPr>
    </w:p>
    <w:p>
      <w:pPr>
        <w:ind w:left="660" w:hanging="495"/>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95"/>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0.9% (2)</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right="160" w:hanging="452"/>
        <w:spacing w:after="0" w:line="271"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such shares are held of record by Ponoi II LP. Ponoi II LLC is the general partner of Ponoi II LP and may be deemed to have voting, investment and dispositive power with respect to these securities. Peter Svennilson, David Goeddel and Tim Kutzkey are the managing members of Ponoi II LLC and may each be deemed to share voting, investment and dispositive power with respect to these securities.</w:t>
      </w:r>
    </w:p>
    <w:p>
      <w:pPr>
        <w:ind w:left="460" w:right="420" w:hanging="452"/>
        <w:spacing w:after="0" w:line="26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72,991,419 shares of Common Stock outstanding, including the full exercise by the underwriters of their option to purchase additional shares, as reported by the Issuer in its Prospectus.</w:t>
      </w:r>
    </w:p>
    <w:p>
      <w:pPr>
        <w:sectPr>
          <w:pgSz w:w="11900" w:h="16838" w:orient="portrait"/>
          <w:cols w:equalWidth="0" w:num="1">
            <w:col w:w="11260"/>
          </w:cols>
          <w:pgMar w:left="320" w:top="274"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660" w:right="7820" w:hanging="405"/>
        <w:spacing w:after="0" w:line="430" w:lineRule="auto"/>
        <w:tabs>
          <w:tab w:leader="none" w:pos="663" w:val="left"/>
        </w:tabs>
        <w:numPr>
          <w:ilvl w:val="0"/>
          <w:numId w:val="32"/>
        </w:numPr>
        <w:rPr>
          <w:rFonts w:ascii="Arial" w:cs="Arial" w:eastAsia="Arial" w:hAnsi="Arial"/>
          <w:sz w:val="17"/>
          <w:szCs w:val="17"/>
          <w:color w:val="auto"/>
        </w:rPr>
      </w:pPr>
      <w:r>
        <w:rPr>
          <w:rFonts w:ascii="Arial" w:cs="Arial" w:eastAsia="Arial" w:hAnsi="Arial"/>
          <w:sz w:val="17"/>
          <w:szCs w:val="17"/>
          <w:color w:val="auto"/>
        </w:rPr>
        <w:t>NAMES OF REPORTING PERSONS The Column Group, LLC</w:t>
      </w:r>
    </w:p>
    <w:p>
      <w:pPr>
        <w:spacing w:after="0" w:line="1" w:lineRule="exact"/>
        <w:rPr>
          <w:rFonts w:ascii="Arial" w:cs="Arial" w:eastAsia="Arial" w:hAnsi="Arial"/>
          <w:sz w:val="17"/>
          <w:szCs w:val="17"/>
          <w:color w:val="auto"/>
        </w:rPr>
      </w:pPr>
    </w:p>
    <w:p>
      <w:pPr>
        <w:ind w:left="660" w:hanging="405"/>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40575"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5220335"/>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920" w:hanging="405"/>
        <w:spacing w:after="0" w:line="40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00" w:hanging="419"/>
        <w:spacing w:after="0"/>
        <w:tabs>
          <w:tab w:leader="none" w:pos="2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46 (1)</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420" w:hanging="216"/>
        <w:spacing w:after="0"/>
        <w:tabs>
          <w:tab w:leader="none" w:pos="24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(1)</w:t>
      </w:r>
    </w:p>
    <w:p>
      <w:pPr>
        <w:spacing w:after="0" w:line="36" w:lineRule="exact"/>
        <w:rPr>
          <w:rFonts w:ascii="Arial" w:cs="Arial" w:eastAsia="Arial" w:hAnsi="Arial"/>
          <w:sz w:val="18"/>
          <w:szCs w:val="18"/>
          <w:color w:val="auto"/>
        </w:rPr>
      </w:pPr>
    </w:p>
    <w:p>
      <w:pPr>
        <w:ind w:left="660" w:right="4060" w:hanging="405"/>
        <w:spacing w:after="0" w:line="406"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46(1)</w:t>
      </w:r>
    </w:p>
    <w:p>
      <w:pPr>
        <w:spacing w:after="0" w:line="1" w:lineRule="exact"/>
        <w:rPr>
          <w:rFonts w:ascii="Arial" w:cs="Arial" w:eastAsia="Arial" w:hAnsi="Arial"/>
          <w:sz w:val="18"/>
          <w:szCs w:val="18"/>
          <w:color w:val="auto"/>
        </w:rPr>
      </w:pPr>
    </w:p>
    <w:p>
      <w:pPr>
        <w:ind w:left="660" w:hanging="495"/>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495"/>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0.0% (2)</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right="420" w:hanging="452"/>
        <w:spacing w:after="0" w:line="274"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such shares are held of record by TCG (as defined in item 2(a) below). Peter Svennilson, David Goeddel and Tim Kutzkey are the managing members of TCG and may each be deemed to share voting, investment and dispositive power with respect to these securities.</w:t>
      </w:r>
    </w:p>
    <w:p>
      <w:pPr>
        <w:ind w:left="460" w:right="420" w:hanging="452"/>
        <w:spacing w:after="0" w:line="26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72,991,419 shares of Common Stock outstanding, including the full exercise by the underwriters of their option to purchase additional shares, as reported by the Issuer in its Prospectus.</w:t>
      </w:r>
    </w:p>
    <w:p>
      <w:pPr>
        <w:sectPr>
          <w:pgSz w:w="11900" w:h="16838" w:orient="portrait"/>
          <w:cols w:equalWidth="0" w:num="1">
            <w:col w:w="11260"/>
          </w:cols>
          <w:pgMar w:left="320" w:top="274"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Revolution Medicines, Inc. (the “Issuer”)</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700 Saginaw Drive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joint statement on Schedule 13G is being filed by The Column Group, LLC (“TCG”) The Column Group III, LP (“TCG III LP”), The Column Group III-A, LP (“TCG III-A LP”), The Column Group III GP, LP (“TCG III GP LP”), Ponoi Capital, LP (“Ponoi LP”), Ponoi Management, LLC (“Ponoi LLC”), Ponoi Capital II, LP (“Ponoi II LP”) and Ponoi II Management, LLC (“Ponoi II LLC” and together with TCG LP, TCG GP LP, TCG II LP, TCG II GP LP, Ponoi LP, Ponoi LLC and Ponoi II LP, the “Reporting Entities”). Peter Svennilson, David Goeddel and Tim Kutzkey are the managing partners of TCG III GP LP and the managing members of TCG, Ponoi LLC and Ponoi II LLC. Information given in response to each item shall be deemed incorporated by reference in all other items, as applicable.</w:t>
      </w:r>
    </w:p>
    <w:p>
      <w:pPr>
        <w:spacing w:after="0" w:line="3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address of the principal business office of each Reporting Entity is c/o The Column Group, 1 Letterman Drive, Building D, Suite M-900, San Francisco, CA 94129.</w:t>
      </w:r>
    </w:p>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Each of TCG, Ponoi LLC and Ponoi II LLC is a limited liability company organized under the laws of the State of Delaware. Each of TCG III LP, TCG III-A LP, TCG III GP LP, Ponoi LP and Ponoi II LP is a limited partnership organized under the laws of the State of Delaware.</w:t>
      </w:r>
    </w:p>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$0.0001 par value per share (“Common Stock”).</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76155X100</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60" w:hanging="453"/>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Row 9 of the cover page for each Reporting Entity and the corresponding footnotes.*</w:t>
      </w:r>
    </w:p>
    <w:p>
      <w:pPr>
        <w:sectPr>
          <w:pgSz w:w="11900" w:h="16838" w:orient="portrait"/>
          <w:cols w:equalWidth="0" w:num="1">
            <w:col w:w="11220"/>
          </w:cols>
          <w:pgMar w:left="320" w:top="274"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460" w:hanging="453"/>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Row 11 of the cover page for each Reporting Entity and the corresponding footnotes.*</w:t>
      </w:r>
    </w:p>
    <w:p>
      <w:pPr>
        <w:spacing w:after="0" w:line="131" w:lineRule="exact"/>
        <w:rPr>
          <w:sz w:val="20"/>
          <w:szCs w:val="20"/>
          <w:color w:val="auto"/>
        </w:rPr>
      </w:pPr>
    </w:p>
    <w:p>
      <w:pPr>
        <w:ind w:left="1460" w:hanging="453"/>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3" w:lineRule="exact"/>
        <w:rPr>
          <w:rFonts w:ascii="Arial" w:cs="Arial" w:eastAsia="Arial" w:hAnsi="Arial"/>
          <w:sz w:val="18"/>
          <w:szCs w:val="18"/>
          <w:color w:val="auto"/>
        </w:rPr>
      </w:pPr>
    </w:p>
    <w:p>
      <w:pPr>
        <w:ind w:left="2020" w:hanging="554"/>
        <w:spacing w:after="0"/>
        <w:tabs>
          <w:tab w:leader="none" w:pos="2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Row 5 of the cover page for each Reporting Entity and the corresponding footnotes.*</w:t>
      </w:r>
    </w:p>
    <w:p>
      <w:pPr>
        <w:spacing w:after="0" w:line="23" w:lineRule="exact"/>
        <w:rPr>
          <w:sz w:val="20"/>
          <w:szCs w:val="20"/>
          <w:color w:val="auto"/>
        </w:rPr>
      </w:pPr>
    </w:p>
    <w:p>
      <w:pPr>
        <w:ind w:left="2020" w:hanging="554"/>
        <w:spacing w:after="0"/>
        <w:tabs>
          <w:tab w:leader="none" w:pos="2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Row 6 of the cover page for each Reporting Entity and the corresponding footnotes.*</w:t>
      </w:r>
    </w:p>
    <w:p>
      <w:pPr>
        <w:spacing w:after="0" w:line="131" w:lineRule="exact"/>
        <w:rPr>
          <w:sz w:val="20"/>
          <w:szCs w:val="20"/>
          <w:color w:val="auto"/>
        </w:rPr>
      </w:pPr>
    </w:p>
    <w:p>
      <w:pPr>
        <w:ind w:left="2020" w:hanging="554"/>
        <w:spacing w:after="0"/>
        <w:tabs>
          <w:tab w:leader="none" w:pos="2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Row 7 of the cover page for each Reporting Entity and the corresponding footnotes.*</w:t>
      </w:r>
    </w:p>
    <w:p>
      <w:pPr>
        <w:spacing w:after="0" w:line="23" w:lineRule="exact"/>
        <w:rPr>
          <w:sz w:val="20"/>
          <w:szCs w:val="20"/>
          <w:color w:val="auto"/>
        </w:rPr>
      </w:pPr>
    </w:p>
    <w:p>
      <w:pPr>
        <w:ind w:left="2020" w:hanging="554"/>
        <w:spacing w:after="0"/>
        <w:tabs>
          <w:tab w:leader="none" w:pos="2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Row 8 of the cover page for each Reporting Entity and the corresponding footnotes.*</w:t>
      </w:r>
    </w:p>
    <w:p>
      <w:pPr>
        <w:spacing w:after="0" w:line="25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of the Reporting Entities disclaims beneficial ownership as to such securities, except to the extent of his, her or its pecuniary interest therein.</w:t>
      </w:r>
    </w:p>
    <w:p>
      <w:pPr>
        <w:spacing w:after="0" w:line="39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certain circumstances set forth in the limited partnership agreements of each of TCG III LP, TCG III-A LP, TCG III GP LP, Ponoi LP and Ponoi II LP and the limited liability company agreements of each of TCG, Ponoi LLC and Ponoi II LLC,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331" w:lineRule="exact"/>
        <w:rPr>
          <w:sz w:val="20"/>
          <w:szCs w:val="20"/>
          <w:color w:val="auto"/>
        </w:rPr>
      </w:pPr>
    </w:p>
    <w:p>
      <w:pPr>
        <w:ind w:left="100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ectPr>
          <w:pgSz w:w="11900" w:h="16838" w:orient="portrait"/>
          <w:cols w:equalWidth="0" w:num="1">
            <w:col w:w="11160"/>
          </w:cols>
          <w:pgMar w:left="320" w:top="274" w:right="4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CUSIP No. 76155X100</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LP</w:t>
            </w:r>
          </w:p>
        </w:tc>
        <w:tc>
          <w:tcPr>
            <w:tcW w:w="5860" w:type="dxa"/>
            <w:vAlign w:val="bottom"/>
            <w:gridSpan w:val="2"/>
          </w:tcPr>
          <w:p>
            <w:pPr>
              <w:ind w:left="660"/>
              <w:spacing w:after="0"/>
              <w:rPr>
                <w:sz w:val="20"/>
                <w:szCs w:val="20"/>
                <w:color w:val="auto"/>
              </w:rPr>
            </w:pPr>
            <w:r>
              <w:rPr>
                <w:rFonts w:ascii="Arial" w:cs="Arial" w:eastAsia="Arial" w:hAnsi="Arial"/>
                <w:sz w:val="20"/>
                <w:szCs w:val="20"/>
                <w:b w:val="1"/>
                <w:bCs w:val="1"/>
                <w:color w:val="auto"/>
              </w:rPr>
              <w:t>THE COLUMN GROUP III GP, LP</w:t>
            </w:r>
          </w:p>
        </w:tc>
      </w:tr>
      <w:tr>
        <w:trPr>
          <w:trHeight w:val="42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Peter Svennilson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Managing Partner</w:t>
            </w:r>
          </w:p>
        </w:tc>
        <w:tc>
          <w:tcPr>
            <w:tcW w:w="1380" w:type="dxa"/>
            <w:vAlign w:val="bottom"/>
          </w:tcPr>
          <w:p>
            <w:pPr>
              <w:ind w:left="6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50"/>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PONOI CAPITAL, LP</w:t>
            </w:r>
          </w:p>
        </w:tc>
        <w:tc>
          <w:tcPr>
            <w:tcW w:w="5860" w:type="dxa"/>
            <w:vAlign w:val="bottom"/>
            <w:gridSpan w:val="2"/>
          </w:tcPr>
          <w:p>
            <w:pPr>
              <w:ind w:left="660"/>
              <w:spacing w:after="0"/>
              <w:rPr>
                <w:sz w:val="20"/>
                <w:szCs w:val="20"/>
                <w:color w:val="auto"/>
              </w:rPr>
            </w:pPr>
            <w:r>
              <w:rPr>
                <w:rFonts w:ascii="Arial" w:cs="Arial" w:eastAsia="Arial" w:hAnsi="Arial"/>
                <w:sz w:val="20"/>
                <w:szCs w:val="20"/>
                <w:b w:val="1"/>
                <w:bCs w:val="1"/>
                <w:color w:val="auto"/>
              </w:rPr>
              <w:t>PONOI MANAGEMENT, LLC</w:t>
            </w:r>
          </w:p>
        </w:tc>
      </w:tr>
      <w:tr>
        <w:trPr>
          <w:trHeight w:val="42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Ponoi Management, LLC</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Peter Svennilson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Managing Partner</w:t>
            </w:r>
          </w:p>
        </w:tc>
        <w:tc>
          <w:tcPr>
            <w:tcW w:w="1380" w:type="dxa"/>
            <w:vAlign w:val="bottom"/>
          </w:tcPr>
          <w:p>
            <w:pPr>
              <w:ind w:left="6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49"/>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PONOI CAPITAL II, LP</w:t>
            </w:r>
          </w:p>
        </w:tc>
        <w:tc>
          <w:tcPr>
            <w:tcW w:w="5860" w:type="dxa"/>
            <w:vAlign w:val="bottom"/>
            <w:gridSpan w:val="2"/>
          </w:tcPr>
          <w:p>
            <w:pPr>
              <w:ind w:left="660"/>
              <w:spacing w:after="0"/>
              <w:rPr>
                <w:sz w:val="20"/>
                <w:szCs w:val="20"/>
                <w:color w:val="auto"/>
              </w:rPr>
            </w:pPr>
            <w:r>
              <w:rPr>
                <w:rFonts w:ascii="Arial" w:cs="Arial" w:eastAsia="Arial" w:hAnsi="Arial"/>
                <w:sz w:val="20"/>
                <w:szCs w:val="20"/>
                <w:b w:val="1"/>
                <w:bCs w:val="1"/>
                <w:color w:val="auto"/>
              </w:rPr>
              <w:t>PONOI II MANAGEMENT, LLC</w:t>
            </w:r>
          </w:p>
        </w:tc>
      </w:tr>
      <w:tr>
        <w:trPr>
          <w:trHeight w:val="42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Ponoi II Management, LLC</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Peter Svennilson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Managing Partner</w:t>
            </w:r>
          </w:p>
        </w:tc>
        <w:tc>
          <w:tcPr>
            <w:tcW w:w="1380" w:type="dxa"/>
            <w:vAlign w:val="bottom"/>
          </w:tcPr>
          <w:p>
            <w:pPr>
              <w:ind w:left="6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49"/>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THE COLUMN GROUP III-A, LP</w:t>
            </w:r>
          </w:p>
        </w:tc>
        <w:tc>
          <w:tcPr>
            <w:tcW w:w="5860" w:type="dxa"/>
            <w:vAlign w:val="bottom"/>
            <w:gridSpan w:val="2"/>
          </w:tcPr>
          <w:p>
            <w:pPr>
              <w:ind w:left="660"/>
              <w:spacing w:after="0"/>
              <w:rPr>
                <w:sz w:val="20"/>
                <w:szCs w:val="20"/>
                <w:color w:val="auto"/>
              </w:rPr>
            </w:pPr>
            <w:r>
              <w:rPr>
                <w:rFonts w:ascii="Arial" w:cs="Arial" w:eastAsia="Arial" w:hAnsi="Arial"/>
                <w:sz w:val="20"/>
                <w:szCs w:val="20"/>
                <w:b w:val="1"/>
                <w:bCs w:val="1"/>
                <w:color w:val="auto"/>
              </w:rPr>
              <w:t>THE COLUMN GROUP, LLC</w:t>
            </w:r>
          </w:p>
        </w:tc>
      </w:tr>
      <w:tr>
        <w:trPr>
          <w:trHeight w:val="42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Peter Svennilson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Managing Partner</w:t>
            </w:r>
          </w:p>
        </w:tc>
        <w:tc>
          <w:tcPr>
            <w:tcW w:w="1380" w:type="dxa"/>
            <w:vAlign w:val="bottom"/>
          </w:tcPr>
          <w:p>
            <w:pPr>
              <w:ind w:left="6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Partner</w:t>
            </w:r>
          </w:p>
        </w:tc>
      </w:tr>
    </w:tbl>
    <w:p>
      <w:pPr>
        <w:sectPr>
          <w:pgSz w:w="11900" w:h="16838" w:orient="portrait"/>
          <w:cols w:equalWidth="0" w:num="1">
            <w:col w:w="11240"/>
          </w:cols>
          <w:pgMar w:left="320" w:top="27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LP</w:t>
            </w:r>
          </w:p>
        </w:tc>
        <w:tc>
          <w:tcPr>
            <w:tcW w:w="5860" w:type="dxa"/>
            <w:vAlign w:val="bottom"/>
            <w:gridSpan w:val="2"/>
          </w:tcPr>
          <w:p>
            <w:pPr>
              <w:ind w:left="660"/>
              <w:spacing w:after="0"/>
              <w:rPr>
                <w:sz w:val="20"/>
                <w:szCs w:val="20"/>
                <w:color w:val="auto"/>
              </w:rPr>
            </w:pPr>
            <w:r>
              <w:rPr>
                <w:rFonts w:ascii="Arial" w:cs="Arial" w:eastAsia="Arial" w:hAnsi="Arial"/>
                <w:sz w:val="20"/>
                <w:szCs w:val="20"/>
                <w:b w:val="1"/>
                <w:bCs w:val="1"/>
                <w:color w:val="auto"/>
              </w:rPr>
              <w:t>THE COLUMN GROUP III GP, LP</w:t>
            </w:r>
          </w:p>
        </w:tc>
      </w:tr>
      <w:tr>
        <w:trPr>
          <w:trHeight w:val="42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Peter Svennilson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Managing Partner</w:t>
            </w:r>
          </w:p>
        </w:tc>
        <w:tc>
          <w:tcPr>
            <w:tcW w:w="1380" w:type="dxa"/>
            <w:vAlign w:val="bottom"/>
          </w:tcPr>
          <w:p>
            <w:pPr>
              <w:ind w:left="6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PONOI CAPITAL, LP</w:t>
            </w:r>
          </w:p>
        </w:tc>
        <w:tc>
          <w:tcPr>
            <w:tcW w:w="5860" w:type="dxa"/>
            <w:vAlign w:val="bottom"/>
            <w:gridSpan w:val="2"/>
          </w:tcPr>
          <w:p>
            <w:pPr>
              <w:ind w:left="660"/>
              <w:spacing w:after="0"/>
              <w:rPr>
                <w:sz w:val="20"/>
                <w:szCs w:val="20"/>
                <w:color w:val="auto"/>
              </w:rPr>
            </w:pPr>
            <w:r>
              <w:rPr>
                <w:rFonts w:ascii="Arial" w:cs="Arial" w:eastAsia="Arial" w:hAnsi="Arial"/>
                <w:sz w:val="18"/>
                <w:szCs w:val="18"/>
                <w:b w:val="1"/>
                <w:bCs w:val="1"/>
                <w:color w:val="auto"/>
              </w:rPr>
              <w:t>PONOI MANAGEMENT,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Ponoi Management, LLC</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Peter Svennilson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Managing Partner</w:t>
            </w:r>
          </w:p>
        </w:tc>
        <w:tc>
          <w:tcPr>
            <w:tcW w:w="1380" w:type="dxa"/>
            <w:vAlign w:val="bottom"/>
          </w:tcPr>
          <w:p>
            <w:pPr>
              <w:ind w:left="6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PONOI CAPITAL II, LP</w:t>
            </w:r>
          </w:p>
        </w:tc>
        <w:tc>
          <w:tcPr>
            <w:tcW w:w="5860" w:type="dxa"/>
            <w:vAlign w:val="bottom"/>
            <w:gridSpan w:val="2"/>
          </w:tcPr>
          <w:p>
            <w:pPr>
              <w:ind w:left="660"/>
              <w:spacing w:after="0"/>
              <w:rPr>
                <w:sz w:val="20"/>
                <w:szCs w:val="20"/>
                <w:color w:val="auto"/>
              </w:rPr>
            </w:pPr>
            <w:r>
              <w:rPr>
                <w:rFonts w:ascii="Arial" w:cs="Arial" w:eastAsia="Arial" w:hAnsi="Arial"/>
                <w:sz w:val="18"/>
                <w:szCs w:val="18"/>
                <w:b w:val="1"/>
                <w:bCs w:val="1"/>
                <w:color w:val="auto"/>
              </w:rPr>
              <w:t>PONOI II MANAGEMENT,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Ponoi II Management, LLC</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Peter Svennilson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Managing Partner</w:t>
            </w:r>
          </w:p>
        </w:tc>
        <w:tc>
          <w:tcPr>
            <w:tcW w:w="1380" w:type="dxa"/>
            <w:vAlign w:val="bottom"/>
          </w:tcPr>
          <w:p>
            <w:pPr>
              <w:ind w:left="6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-A, LP</w:t>
            </w:r>
          </w:p>
        </w:tc>
        <w:tc>
          <w:tcPr>
            <w:tcW w:w="5860" w:type="dxa"/>
            <w:vAlign w:val="bottom"/>
            <w:gridSpan w:val="2"/>
          </w:tcPr>
          <w:p>
            <w:pPr>
              <w:ind w:left="660"/>
              <w:spacing w:after="0"/>
              <w:rPr>
                <w:sz w:val="20"/>
                <w:szCs w:val="20"/>
                <w:color w:val="auto"/>
              </w:rPr>
            </w:pPr>
            <w:r>
              <w:rPr>
                <w:rFonts w:ascii="Arial" w:cs="Arial" w:eastAsia="Arial" w:hAnsi="Arial"/>
                <w:sz w:val="18"/>
                <w:szCs w:val="18"/>
                <w:b w:val="1"/>
                <w:bCs w:val="1"/>
                <w:color w:val="auto"/>
              </w:rPr>
              <w:t>THE COLUMN GROUP,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Svennilson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Peter Svennilson</w:t>
            </w:r>
          </w:p>
        </w:tc>
        <w:tc>
          <w:tcPr>
            <w:tcW w:w="1380" w:type="dxa"/>
            <w:vAlign w:val="bottom"/>
          </w:tcPr>
          <w:p>
            <w:pPr>
              <w:ind w:left="66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Peter Svennilson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Managing Partner</w:t>
            </w:r>
          </w:p>
        </w:tc>
        <w:tc>
          <w:tcPr>
            <w:tcW w:w="1380" w:type="dxa"/>
            <w:vAlign w:val="bottom"/>
          </w:tcPr>
          <w:p>
            <w:pPr>
              <w:ind w:left="6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3"/>
    </w:lvl>
    <w:lvl w:ilvl="1">
      <w:lvlJc w:val="left"/>
      <w:lvlText w:val="%2."/>
      <w:numFmt w:val="decimal"/>
      <w:start w:val="5"/>
    </w:lvl>
  </w:abstractNum>
  <w:abstractNum w:abstractNumId="5">
    <w:nsid w:val="8EDBDAB"/>
    <w:multiLevelType w:val="hybridMultilevel"/>
    <w:lvl w:ilvl="0">
      <w:lvlJc w:val="left"/>
      <w:lvlText w:val="%1"/>
      <w:numFmt w:val="decimal"/>
      <w:start w:val="1"/>
    </w:lvl>
    <w:lvl w:ilvl="1">
      <w:lvlJc w:val="left"/>
      <w:lvlText w:val="%2."/>
      <w:numFmt w:val="decimal"/>
      <w:start w:val="9"/>
    </w:lvl>
  </w:abstractNum>
  <w:abstractNum w:abstractNumId="6">
    <w:nsid w:val="79838CB2"/>
    <w:multiLevelType w:val="hybridMultilevel"/>
    <w:lvl w:ilvl="0">
      <w:lvlJc w:val="left"/>
      <w:lvlText w:val="(%1)"/>
      <w:numFmt w:val="decimal"/>
      <w:start w:val="1"/>
    </w:lvl>
    <w:lvl w:ilvl="1">
      <w:lvlJc w:val="left"/>
      <w:lvlText w:val="%2"/>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3"/>
    </w:lvl>
    <w:lvl w:ilvl="1">
      <w:lvlJc w:val="left"/>
      <w:lvlText w:val="%2."/>
      <w:numFmt w:val="decimal"/>
      <w:start w:val="5"/>
    </w:lvl>
  </w:abstractNum>
  <w:abstractNum w:abstractNumId="9">
    <w:nsid w:val="189A769B"/>
    <w:multiLevelType w:val="hybridMultilevel"/>
    <w:lvl w:ilvl="0">
      <w:lvlJc w:val="left"/>
      <w:lvlText w:val="%1"/>
      <w:numFmt w:val="decimal"/>
      <w:start w:val="1"/>
    </w:lvl>
    <w:lvl w:ilvl="1">
      <w:lvlJc w:val="left"/>
      <w:lvlText w:val="%2."/>
      <w:numFmt w:val="decimal"/>
      <w:start w:val="9"/>
    </w:lvl>
  </w:abstractNum>
  <w:abstractNum w:abstractNumId="10">
    <w:nsid w:val="54E49EB4"/>
    <w:multiLevelType w:val="hybridMultilevel"/>
    <w:lvl w:ilvl="0">
      <w:lvlJc w:val="left"/>
      <w:lvlText w:val="(%1)"/>
      <w:numFmt w:val="decimal"/>
      <w:start w:val="1"/>
    </w:lvl>
    <w:lvl w:ilvl="1">
      <w:lvlJc w:val="left"/>
      <w:lvlText w:val="%2"/>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3"/>
    </w:lvl>
    <w:lvl w:ilvl="1">
      <w:lvlJc w:val="left"/>
      <w:lvlText w:val="%2."/>
      <w:numFmt w:val="decimal"/>
      <w:start w:val="5"/>
    </w:lvl>
  </w:abstractNum>
  <w:abstractNum w:abstractNumId="13">
    <w:nsid w:val="836C40E"/>
    <w:multiLevelType w:val="hybridMultilevel"/>
    <w:lvl w:ilvl="0">
      <w:lvlJc w:val="left"/>
      <w:lvlText w:val="%1"/>
      <w:numFmt w:val="decimal"/>
      <w:start w:val="1"/>
    </w:lvl>
    <w:lvl w:ilvl="1">
      <w:lvlJc w:val="left"/>
      <w:lvlText w:val="%2."/>
      <w:numFmt w:val="decimal"/>
      <w:start w:val="9"/>
    </w:lvl>
  </w:abstractNum>
  <w:abstractNum w:abstractNumId="14">
    <w:nsid w:val="2901D82"/>
    <w:multiLevelType w:val="hybridMultilevel"/>
    <w:lvl w:ilvl="0">
      <w:lvlJc w:val="left"/>
      <w:lvlText w:val="(%1)"/>
      <w:numFmt w:val="decimal"/>
      <w:start w:val="1"/>
    </w:lvl>
    <w:lvl w:ilvl="1">
      <w:lvlJc w:val="left"/>
      <w:lvlText w:val="%2"/>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3"/>
    </w:lvl>
    <w:lvl w:ilvl="1">
      <w:lvlJc w:val="left"/>
      <w:lvlText w:val="%2."/>
      <w:numFmt w:val="decimal"/>
      <w:start w:val="5"/>
    </w:lvl>
  </w:abstractNum>
  <w:abstractNum w:abstractNumId="17">
    <w:nsid w:val="1E7FF521"/>
    <w:multiLevelType w:val="hybridMultilevel"/>
    <w:lvl w:ilvl="0">
      <w:lvlJc w:val="left"/>
      <w:lvlText w:val="%1"/>
      <w:numFmt w:val="decimal"/>
      <w:start w:val="1"/>
    </w:lvl>
    <w:lvl w:ilvl="1">
      <w:lvlJc w:val="left"/>
      <w:lvlText w:val="%2."/>
      <w:numFmt w:val="decimal"/>
      <w:start w:val="9"/>
    </w:lvl>
  </w:abstractNum>
  <w:abstractNum w:abstractNumId="18">
    <w:nsid w:val="7C3DBD3D"/>
    <w:multiLevelType w:val="hybridMultilevel"/>
    <w:lvl w:ilvl="0">
      <w:lvlJc w:val="left"/>
      <w:lvlText w:val="(%1)"/>
      <w:numFmt w:val="decimal"/>
      <w:start w:val="1"/>
    </w:lvl>
    <w:lvl w:ilvl="1">
      <w:lvlJc w:val="left"/>
      <w:lvlText w:val="%2"/>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3"/>
    </w:lvl>
    <w:lvl w:ilvl="1">
      <w:lvlJc w:val="left"/>
      <w:lvlText w:val="%2."/>
      <w:numFmt w:val="decimal"/>
      <w:start w:val="5"/>
    </w:lvl>
  </w:abstractNum>
  <w:abstractNum w:abstractNumId="21">
    <w:nsid w:val="22221A70"/>
    <w:multiLevelType w:val="hybridMultilevel"/>
    <w:lvl w:ilvl="0">
      <w:lvlJc w:val="left"/>
      <w:lvlText w:val="%1"/>
      <w:numFmt w:val="decimal"/>
      <w:start w:val="1"/>
    </w:lvl>
    <w:lvl w:ilvl="1">
      <w:lvlJc w:val="left"/>
      <w:lvlText w:val="%2."/>
      <w:numFmt w:val="decimal"/>
      <w:start w:val="9"/>
    </w:lvl>
  </w:abstractNum>
  <w:abstractNum w:abstractNumId="22">
    <w:nsid w:val="4516DDE9"/>
    <w:multiLevelType w:val="hybridMultilevel"/>
    <w:lvl w:ilvl="0">
      <w:lvlJc w:val="left"/>
      <w:lvlText w:val="(%1)"/>
      <w:numFmt w:val="decimal"/>
      <w:start w:val="1"/>
    </w:lvl>
    <w:lvl w:ilvl="1">
      <w:lvlJc w:val="left"/>
      <w:lvlText w:val="%2"/>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3"/>
    </w:lvl>
    <w:lvl w:ilvl="1">
      <w:lvlJc w:val="left"/>
      <w:lvlText w:val="%2."/>
      <w:numFmt w:val="decimal"/>
      <w:start w:val="5"/>
    </w:lvl>
  </w:abstractNum>
  <w:abstractNum w:abstractNumId="25">
    <w:nsid w:val="419AC241"/>
    <w:multiLevelType w:val="hybridMultilevel"/>
    <w:lvl w:ilvl="0">
      <w:lvlJc w:val="left"/>
      <w:lvlText w:val="%1"/>
      <w:numFmt w:val="decimal"/>
      <w:start w:val="1"/>
    </w:lvl>
    <w:lvl w:ilvl="1">
      <w:lvlJc w:val="left"/>
      <w:lvlText w:val="%2."/>
      <w:numFmt w:val="decimal"/>
      <w:start w:val="9"/>
    </w:lvl>
  </w:abstractNum>
  <w:abstractNum w:abstractNumId="26">
    <w:nsid w:val="5577F8E1"/>
    <w:multiLevelType w:val="hybridMultilevel"/>
    <w:lvl w:ilvl="0">
      <w:lvlJc w:val="left"/>
      <w:lvlText w:val="(%1)"/>
      <w:numFmt w:val="decimal"/>
      <w:start w:val="1"/>
    </w:lvl>
    <w:lvl w:ilvl="1">
      <w:lvlJc w:val="left"/>
      <w:lvlText w:val="%2"/>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3"/>
    </w:lvl>
    <w:lvl w:ilvl="1">
      <w:lvlJc w:val="left"/>
      <w:lvlText w:val="%2."/>
      <w:numFmt w:val="decimal"/>
      <w:start w:val="5"/>
    </w:lvl>
  </w:abstractNum>
  <w:abstractNum w:abstractNumId="29">
    <w:nsid w:val="3804823E"/>
    <w:multiLevelType w:val="hybridMultilevel"/>
    <w:lvl w:ilvl="0">
      <w:lvlJc w:val="left"/>
      <w:lvlText w:val="%1"/>
      <w:numFmt w:val="decimal"/>
      <w:start w:val="1"/>
    </w:lvl>
    <w:lvl w:ilvl="1">
      <w:lvlJc w:val="left"/>
      <w:lvlText w:val="%2."/>
      <w:numFmt w:val="decimal"/>
      <w:start w:val="9"/>
    </w:lvl>
  </w:abstractNum>
  <w:abstractNum w:abstractNumId="30">
    <w:nsid w:val="77465F01"/>
    <w:multiLevelType w:val="hybridMultilevel"/>
    <w:lvl w:ilvl="0">
      <w:lvlJc w:val="left"/>
      <w:lvlText w:val="(%1)"/>
      <w:numFmt w:val="decimal"/>
      <w:start w:val="1"/>
    </w:lvl>
    <w:lvl w:ilvl="1">
      <w:lvlJc w:val="left"/>
      <w:lvlText w:val="%2"/>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3"/>
    </w:lvl>
    <w:lvl w:ilvl="1">
      <w:lvlJc w:val="left"/>
      <w:lvlText w:val="%2."/>
      <w:numFmt w:val="decimal"/>
      <w:start w:val="5"/>
    </w:lvl>
  </w:abstractNum>
  <w:abstractNum w:abstractNumId="33">
    <w:nsid w:val="2463B9EA"/>
    <w:multiLevelType w:val="hybridMultilevel"/>
    <w:lvl w:ilvl="0">
      <w:lvlJc w:val="left"/>
      <w:lvlText w:val="%1"/>
      <w:numFmt w:val="decimal"/>
      <w:start w:val="1"/>
    </w:lvl>
    <w:lvl w:ilvl="1">
      <w:lvlJc w:val="left"/>
      <w:lvlText w:val="%2"/>
      <w:numFmt w:val="decimal"/>
      <w:start w:val="1"/>
    </w:lvl>
    <w:lvl w:ilvl="2">
      <w:lvlJc w:val="left"/>
      <w:lvlText w:val="%3"/>
      <w:numFmt w:val="decimal"/>
      <w:start w:val="46"/>
    </w:lvl>
  </w:abstractNum>
  <w:abstractNum w:abstractNumId="34">
    <w:nsid w:val="5E884ADC"/>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35">
    <w:nsid w:val="51EAD36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2"/>
    </w:lvl>
  </w:abstractNum>
  <w:abstractNum w:abstractNumId="38">
    <w:nsid w:val="153EA438"/>
    <w:multiLevelType w:val="hybridMultilevel"/>
    <w:lvl w:ilvl="0">
      <w:lvlJc w:val="left"/>
      <w:lvlText w:val="(%1)"/>
      <w:numFmt w:val="lowerLetter"/>
      <w:start w:val="3"/>
    </w:lvl>
    <w:lvl w:ilvl="1">
      <w:lvlJc w:val="left"/>
      <w:lvlText w:val="(%2)"/>
      <w:numFmt w:val="lowerLetter"/>
      <w:start w:val="9"/>
    </w:lvl>
  </w:abstractNum>
  <w:abstractNum w:abstractNumId="39">
    <w:nsid w:val="3855585C"/>
    <w:multiLevelType w:val="hybridMultilevel"/>
    <w:lvl w:ilvl="0">
      <w:lvlJc w:val="left"/>
      <w:lvlText w:val="(%1)"/>
      <w:numFmt w:val="lowerRoman"/>
      <w:start w:val="2"/>
    </w:lvl>
  </w:abstractNum>
  <w:abstractNum w:abstractNumId="40">
    <w:nsid w:val="70A64E2A"/>
    <w:multiLevelType w:val="hybridMultilevel"/>
    <w:lvl w:ilvl="0">
      <w:lvlJc w:val="left"/>
      <w:lvlText w:val="(%1)"/>
      <w:numFmt w:val="lowerRoman"/>
      <w:start w:val="3"/>
    </w:lvl>
  </w:abstractNum>
  <w:abstractNum w:abstractNumId="41">
    <w:nsid w:val="6A2342EC"/>
    <w:multiLevelType w:val="hybridMultilevel"/>
    <w:lvl w:ilvl="0">
      <w:lvlJc w:val="left"/>
      <w:lvlText w:val="(%1)"/>
      <w:numFmt w:val="lowerRoman"/>
      <w:start w:val="4"/>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2021-02-16T05:22:36Z</dcterms:created>
  <dcterms:modified xsi:type="dcterms:W3CDTF">2021-02-16T05:22:36Z</dcterms:modified>
</cp:coreProperties>
</file>