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Kelsey Stephen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2"/>
        <w:gridCol w:w="931"/>
        <w:gridCol w:w="799"/>
        <w:gridCol w:w="618"/>
        <w:gridCol w:w="346"/>
        <w:gridCol w:w="826"/>
        <w:gridCol w:w="431"/>
        <w:gridCol w:w="1103"/>
        <w:gridCol w:w="1173"/>
        <w:gridCol w:w="983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195.0074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291,791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5,484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199.3032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286,307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Rule 10b5-1 instruction letter adopted on May 31, 2023 to satisfy the Reporting Person's tax withholding obligation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at prices ranging from $195.00 to $195.03,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65,613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Advisor to the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Attorney-in-fact for Stephen Michael Kelsey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62808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697</Words>
  <Characters>3818</Characters>
  <CharactersWithSpaces>4435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