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Kelsey Stephen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2"/>
        <w:gridCol w:w="931"/>
        <w:gridCol w:w="799"/>
        <w:gridCol w:w="618"/>
        <w:gridCol w:w="346"/>
        <w:gridCol w:w="826"/>
        <w:gridCol w:w="431"/>
        <w:gridCol w:w="1103"/>
        <w:gridCol w:w="1173"/>
        <w:gridCol w:w="983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4,175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156.1192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291,876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May 31, 2023 to satisfy the Reporting Person's tax withholding obligation upon the vesting of restricted stock units ("RSUs") after July 15,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$156.1105 to $156.8250.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76,251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653 shares acquired under the Issuer's Employee Stock Purchase Plan on May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Research and Development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Stephen Michael Kelsey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62808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689</Words>
  <Characters>3772</Characters>
  <CharactersWithSpaces>4397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