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filed with the Securities and Exchange Commission on July 6, 2020.</w:t>
      </w:r>
    </w:p>
    <w:p>
      <w:pPr>
        <w:spacing w:after="0" w:line="15" w:lineRule="exact"/>
        <w:rPr>
          <w:sz w:val="24"/>
          <w:szCs w:val="24"/>
          <w:color w:val="auto"/>
        </w:rPr>
      </w:pPr>
    </w:p>
    <w:p>
      <w:pPr>
        <w:ind w:left="94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72390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S-1</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87"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-305435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0"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71120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820" w:type="dxa"/>
            <w:vAlign w:val="bottom"/>
          </w:tcPr>
          <w:p>
            <w:pPr>
              <w:jc w:val="center"/>
              <w:ind w:right="833"/>
              <w:spacing w:after="0"/>
              <w:rPr>
                <w:sz w:val="20"/>
                <w:szCs w:val="20"/>
                <w:color w:val="auto"/>
              </w:rPr>
            </w:pPr>
            <w:r>
              <w:rPr>
                <w:rFonts w:ascii="Arial" w:cs="Arial" w:eastAsia="Arial" w:hAnsi="Arial"/>
                <w:sz w:val="13"/>
                <w:szCs w:val="13"/>
                <w:b w:val="1"/>
                <w:bCs w:val="1"/>
                <w:color w:val="auto"/>
              </w:rPr>
              <w:t>Delaware</w:t>
            </w:r>
          </w:p>
        </w:tc>
        <w:tc>
          <w:tcPr>
            <w:tcW w:w="3860" w:type="dxa"/>
            <w:vAlign w:val="bottom"/>
          </w:tcPr>
          <w:p>
            <w:pPr>
              <w:jc w:val="right"/>
              <w:ind w:right="1753"/>
              <w:spacing w:after="0"/>
              <w:rPr>
                <w:sz w:val="20"/>
                <w:szCs w:val="20"/>
                <w:color w:val="auto"/>
              </w:rPr>
            </w:pPr>
            <w:r>
              <w:rPr>
                <w:rFonts w:ascii="Arial" w:cs="Arial" w:eastAsia="Arial" w:hAnsi="Arial"/>
                <w:sz w:val="13"/>
                <w:szCs w:val="13"/>
                <w:b w:val="1"/>
                <w:bCs w:val="1"/>
                <w:color w:val="auto"/>
              </w:rPr>
              <w:t>2836</w:t>
            </w:r>
          </w:p>
        </w:tc>
        <w:tc>
          <w:tcPr>
            <w:tcW w:w="2380" w:type="dxa"/>
            <w:vAlign w:val="bottom"/>
          </w:tcPr>
          <w:p>
            <w:pPr>
              <w:jc w:val="center"/>
              <w:ind w:left="913"/>
              <w:spacing w:after="0"/>
              <w:rPr>
                <w:sz w:val="20"/>
                <w:szCs w:val="20"/>
                <w:color w:val="auto"/>
              </w:rPr>
            </w:pPr>
            <w:r>
              <w:rPr>
                <w:rFonts w:ascii="Arial" w:cs="Arial" w:eastAsia="Arial" w:hAnsi="Arial"/>
                <w:sz w:val="13"/>
                <w:szCs w:val="13"/>
                <w:b w:val="1"/>
                <w:bCs w:val="1"/>
                <w:color w:val="auto"/>
              </w:rPr>
              <w:t>47-2029180</w:t>
            </w:r>
          </w:p>
        </w:tc>
      </w:tr>
      <w:tr>
        <w:trPr>
          <w:trHeight w:val="148"/>
        </w:trPr>
        <w:tc>
          <w:tcPr>
            <w:tcW w:w="2820" w:type="dxa"/>
            <w:vAlign w:val="bottom"/>
          </w:tcPr>
          <w:p>
            <w:pPr>
              <w:jc w:val="center"/>
              <w:ind w:right="813"/>
              <w:spacing w:after="0"/>
              <w:rPr>
                <w:sz w:val="20"/>
                <w:szCs w:val="20"/>
                <w:color w:val="auto"/>
              </w:rPr>
            </w:pPr>
            <w:r>
              <w:rPr>
                <w:rFonts w:ascii="Arial" w:cs="Arial" w:eastAsia="Arial" w:hAnsi="Arial"/>
                <w:sz w:val="13"/>
                <w:szCs w:val="13"/>
                <w:b w:val="1"/>
                <w:bCs w:val="1"/>
                <w:color w:val="auto"/>
              </w:rPr>
              <w:t>(State or other jurisdiction of</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(Primary Standard Industrial</w:t>
            </w:r>
          </w:p>
        </w:tc>
        <w:tc>
          <w:tcPr>
            <w:tcW w:w="2380" w:type="dxa"/>
            <w:vAlign w:val="bottom"/>
          </w:tcPr>
          <w:p>
            <w:pPr>
              <w:jc w:val="center"/>
              <w:ind w:left="893"/>
              <w:spacing w:after="0"/>
              <w:rPr>
                <w:sz w:val="20"/>
                <w:szCs w:val="20"/>
                <w:color w:val="auto"/>
              </w:rPr>
            </w:pPr>
            <w:r>
              <w:rPr>
                <w:rFonts w:ascii="Arial" w:cs="Arial" w:eastAsia="Arial" w:hAnsi="Arial"/>
                <w:sz w:val="13"/>
                <w:szCs w:val="13"/>
                <w:b w:val="1"/>
                <w:bCs w:val="1"/>
                <w:color w:val="auto"/>
              </w:rPr>
              <w:t>(I.R.S. Employer</w:t>
            </w:r>
          </w:p>
        </w:tc>
      </w:tr>
      <w:tr>
        <w:trPr>
          <w:trHeight w:val="148"/>
        </w:trPr>
        <w:tc>
          <w:tcPr>
            <w:tcW w:w="2820" w:type="dxa"/>
            <w:vAlign w:val="bottom"/>
          </w:tcPr>
          <w:p>
            <w:pPr>
              <w:jc w:val="center"/>
              <w:ind w:right="833"/>
              <w:spacing w:after="0"/>
              <w:rPr>
                <w:sz w:val="20"/>
                <w:szCs w:val="20"/>
                <w:color w:val="auto"/>
              </w:rPr>
            </w:pPr>
            <w:r>
              <w:rPr>
                <w:rFonts w:ascii="Arial" w:cs="Arial" w:eastAsia="Arial" w:hAnsi="Arial"/>
                <w:sz w:val="13"/>
                <w:szCs w:val="13"/>
                <w:b w:val="1"/>
                <w:bCs w:val="1"/>
                <w:color w:val="auto"/>
              </w:rPr>
              <w:t>incorporation or organization)</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Classification Code Number)</w:t>
            </w:r>
          </w:p>
        </w:tc>
        <w:tc>
          <w:tcPr>
            <w:tcW w:w="2380" w:type="dxa"/>
            <w:vAlign w:val="bottom"/>
          </w:tcPr>
          <w:p>
            <w:pPr>
              <w:jc w:val="center"/>
              <w:ind w:left="893"/>
              <w:spacing w:after="0"/>
              <w:rPr>
                <w:sz w:val="20"/>
                <w:szCs w:val="20"/>
                <w:color w:val="auto"/>
              </w:rPr>
            </w:pPr>
            <w:r>
              <w:rPr>
                <w:rFonts w:ascii="Arial" w:cs="Arial" w:eastAsia="Arial" w:hAnsi="Arial"/>
                <w:sz w:val="13"/>
                <w:szCs w:val="13"/>
                <w:b w:val="1"/>
                <w:bCs w:val="1"/>
                <w:color w:val="auto"/>
              </w:rPr>
              <w:t>Identification Number)</w:t>
            </w:r>
          </w:p>
        </w:tc>
      </w:tr>
      <w:tr>
        <w:trPr>
          <w:trHeight w:val="149"/>
        </w:trPr>
        <w:tc>
          <w:tcPr>
            <w:tcW w:w="282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700 Saginaw Drive</w:t>
            </w:r>
          </w:p>
        </w:tc>
        <w:tc>
          <w:tcPr>
            <w:tcW w:w="2380" w:type="dxa"/>
            <w:vAlign w:val="bottom"/>
          </w:tcPr>
          <w:p>
            <w:pPr>
              <w:spacing w:after="0"/>
              <w:rPr>
                <w:sz w:val="12"/>
                <w:szCs w:val="12"/>
                <w:color w:val="auto"/>
              </w:rPr>
            </w:pPr>
          </w:p>
        </w:tc>
      </w:tr>
      <w:tr>
        <w:trPr>
          <w:trHeight w:val="148"/>
        </w:trPr>
        <w:tc>
          <w:tcPr>
            <w:tcW w:w="2820" w:type="dxa"/>
            <w:vAlign w:val="bottom"/>
          </w:tcPr>
          <w:p>
            <w:pPr>
              <w:spacing w:after="0"/>
              <w:rPr>
                <w:sz w:val="12"/>
                <w:szCs w:val="12"/>
                <w:color w:val="auto"/>
              </w:rPr>
            </w:pP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rPr>
              <w:t>Redwood City, California 94063</w:t>
            </w:r>
          </w:p>
        </w:tc>
        <w:tc>
          <w:tcPr>
            <w:tcW w:w="2380" w:type="dxa"/>
            <w:vAlign w:val="bottom"/>
          </w:tcPr>
          <w:p>
            <w:pPr>
              <w:spacing w:after="0"/>
              <w:rPr>
                <w:sz w:val="12"/>
                <w:szCs w:val="12"/>
                <w:color w:val="auto"/>
              </w:rPr>
            </w:pPr>
          </w:p>
        </w:tc>
      </w:tr>
      <w:tr>
        <w:trPr>
          <w:trHeight w:val="178"/>
        </w:trPr>
        <w:tc>
          <w:tcPr>
            <w:tcW w:w="2820" w:type="dxa"/>
            <w:vAlign w:val="bottom"/>
          </w:tcPr>
          <w:p>
            <w:pPr>
              <w:spacing w:after="0"/>
              <w:rPr>
                <w:sz w:val="15"/>
                <w:szCs w:val="15"/>
                <w:color w:val="auto"/>
              </w:rPr>
            </w:pPr>
          </w:p>
        </w:tc>
        <w:tc>
          <w:tcPr>
            <w:tcW w:w="3860" w:type="dxa"/>
            <w:vAlign w:val="bottom"/>
          </w:tcPr>
          <w:p>
            <w:pPr>
              <w:jc w:val="right"/>
              <w:ind w:right="1433"/>
              <w:spacing w:after="0"/>
              <w:rPr>
                <w:sz w:val="20"/>
                <w:szCs w:val="20"/>
                <w:color w:val="auto"/>
              </w:rPr>
            </w:pPr>
            <w:r>
              <w:rPr>
                <w:rFonts w:ascii="Arial" w:cs="Arial" w:eastAsia="Arial" w:hAnsi="Arial"/>
                <w:sz w:val="13"/>
                <w:szCs w:val="13"/>
                <w:b w:val="1"/>
                <w:bCs w:val="1"/>
                <w:color w:val="auto"/>
              </w:rPr>
              <w:t>(650) 481-6801</w:t>
            </w:r>
          </w:p>
        </w:tc>
        <w:tc>
          <w:tcPr>
            <w:tcW w:w="2380" w:type="dxa"/>
            <w:vAlign w:val="bottom"/>
          </w:tcPr>
          <w:p>
            <w:pPr>
              <w:spacing w:after="0"/>
              <w:rPr>
                <w:sz w:val="15"/>
                <w:szCs w:val="15"/>
                <w:color w:val="auto"/>
              </w:rPr>
            </w:pPr>
          </w:p>
        </w:tc>
      </w:tr>
    </w:tbl>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86995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Mark A. Goldsmith, M.D., Ph.D.</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rPr>
          <w:sz w:val="20"/>
          <w:szCs w:val="20"/>
          <w:color w:val="auto"/>
        </w:rPr>
      </w:pPr>
      <w:r>
        <w:rPr>
          <w:rFonts w:ascii="Arial" w:cs="Arial" w:eastAsia="Arial" w:hAnsi="Arial"/>
          <w:sz w:val="13"/>
          <w:szCs w:val="13"/>
          <w:b w:val="1"/>
          <w:bCs w:val="1"/>
          <w:color w:val="auto"/>
        </w:rPr>
        <w:t>Revolution Medicines, Inc.</w:t>
      </w:r>
    </w:p>
    <w:p>
      <w:pPr>
        <w:jc w:val="center"/>
        <w:ind w:right="-99"/>
        <w:spacing w:after="0"/>
        <w:rPr>
          <w:sz w:val="20"/>
          <w:szCs w:val="20"/>
          <w:color w:val="auto"/>
        </w:rPr>
      </w:pPr>
      <w:r>
        <w:rPr>
          <w:rFonts w:ascii="Arial" w:cs="Arial" w:eastAsia="Arial" w:hAnsi="Arial"/>
          <w:sz w:val="13"/>
          <w:szCs w:val="13"/>
          <w:b w:val="1"/>
          <w:bCs w:val="1"/>
          <w:color w:val="auto"/>
        </w:rPr>
        <w:t>700 Saginaw Drive</w:t>
      </w:r>
    </w:p>
    <w:p>
      <w:pPr>
        <w:jc w:val="center"/>
        <w:ind w:right="-99"/>
        <w:spacing w:after="0"/>
        <w:rPr>
          <w:sz w:val="20"/>
          <w:szCs w:val="20"/>
          <w:color w:val="auto"/>
        </w:rPr>
      </w:pPr>
      <w:r>
        <w:rPr>
          <w:rFonts w:ascii="Arial" w:cs="Arial" w:eastAsia="Arial" w:hAnsi="Arial"/>
          <w:sz w:val="13"/>
          <w:szCs w:val="13"/>
          <w:b w:val="1"/>
          <w:bCs w:val="1"/>
          <w:color w:val="auto"/>
        </w:rPr>
        <w:t>Redwood City, California 94063</w:t>
      </w:r>
    </w:p>
    <w:p>
      <w:pPr>
        <w:jc w:val="center"/>
        <w:ind w:right="-99"/>
        <w:spacing w:after="0"/>
        <w:rPr>
          <w:sz w:val="20"/>
          <w:szCs w:val="20"/>
          <w:color w:val="auto"/>
        </w:rPr>
      </w:pPr>
      <w:r>
        <w:rPr>
          <w:rFonts w:ascii="Arial" w:cs="Arial" w:eastAsia="Arial" w:hAnsi="Arial"/>
          <w:sz w:val="13"/>
          <w:szCs w:val="13"/>
          <w:b w:val="1"/>
          <w:bCs w:val="1"/>
          <w:color w:val="auto"/>
        </w:rPr>
        <w:t>(650) 481-6801</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2" w:lineRule="exact"/>
        <w:rPr>
          <w:sz w:val="24"/>
          <w:szCs w:val="24"/>
          <w:color w:val="auto"/>
        </w:rPr>
      </w:pPr>
    </w:p>
    <w:tbl>
      <w:tblPr>
        <w:tblLayout w:type="fixed"/>
        <w:tblInd w:w="106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4220" w:type="dxa"/>
            <w:vAlign w:val="bottom"/>
          </w:tcPr>
          <w:p>
            <w:pPr>
              <w:ind w:left="1700"/>
              <w:spacing w:after="0"/>
              <w:rPr>
                <w:sz w:val="20"/>
                <w:szCs w:val="20"/>
                <w:color w:val="auto"/>
              </w:rPr>
            </w:pPr>
            <w:r>
              <w:rPr>
                <w:rFonts w:ascii="Arial" w:cs="Arial" w:eastAsia="Arial" w:hAnsi="Arial"/>
                <w:sz w:val="13"/>
                <w:szCs w:val="13"/>
                <w:b w:val="1"/>
                <w:bCs w:val="1"/>
                <w:i w:val="1"/>
                <w:iCs w:val="1"/>
                <w:color w:val="auto"/>
              </w:rPr>
              <w:t>Copies to:</w:t>
            </w:r>
          </w:p>
        </w:tc>
        <w:tc>
          <w:tcPr>
            <w:tcW w:w="2480" w:type="dxa"/>
            <w:vAlign w:val="bottom"/>
          </w:tcPr>
          <w:p>
            <w:pPr>
              <w:spacing w:after="0"/>
              <w:rPr>
                <w:sz w:val="15"/>
                <w:szCs w:val="15"/>
                <w:color w:val="auto"/>
              </w:rPr>
            </w:pPr>
          </w:p>
        </w:tc>
      </w:tr>
      <w:tr>
        <w:trPr>
          <w:trHeight w:val="149"/>
        </w:trPr>
        <w:tc>
          <w:tcPr>
            <w:tcW w:w="2540" w:type="dxa"/>
            <w:vAlign w:val="bottom"/>
          </w:tcPr>
          <w:p>
            <w:pPr>
              <w:jc w:val="center"/>
              <w:ind w:right="653"/>
              <w:spacing w:after="0"/>
              <w:rPr>
                <w:sz w:val="20"/>
                <w:szCs w:val="20"/>
                <w:color w:val="auto"/>
              </w:rPr>
            </w:pPr>
            <w:r>
              <w:rPr>
                <w:rFonts w:ascii="Arial" w:cs="Arial" w:eastAsia="Arial" w:hAnsi="Arial"/>
                <w:sz w:val="13"/>
                <w:szCs w:val="13"/>
                <w:b w:val="1"/>
                <w:bCs w:val="1"/>
                <w:color w:val="auto"/>
              </w:rPr>
              <w:t>Mark V. Roeder</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Margaret Horn</w:t>
            </w:r>
          </w:p>
        </w:tc>
        <w:tc>
          <w:tcPr>
            <w:tcW w:w="2480" w:type="dxa"/>
            <w:vAlign w:val="bottom"/>
          </w:tcPr>
          <w:p>
            <w:pPr>
              <w:jc w:val="center"/>
              <w:ind w:left="593"/>
              <w:spacing w:after="0"/>
              <w:rPr>
                <w:sz w:val="20"/>
                <w:szCs w:val="20"/>
                <w:color w:val="auto"/>
              </w:rPr>
            </w:pPr>
            <w:r>
              <w:rPr>
                <w:rFonts w:ascii="Arial" w:cs="Arial" w:eastAsia="Arial" w:hAnsi="Arial"/>
                <w:sz w:val="13"/>
                <w:szCs w:val="13"/>
                <w:b w:val="1"/>
                <w:bCs w:val="1"/>
                <w:color w:val="auto"/>
              </w:rPr>
              <w:t>Alan F. Denenberg</w:t>
            </w:r>
          </w:p>
        </w:tc>
      </w:tr>
      <w:tr>
        <w:trPr>
          <w:trHeight w:val="148"/>
        </w:trPr>
        <w:tc>
          <w:tcPr>
            <w:tcW w:w="2540" w:type="dxa"/>
            <w:vAlign w:val="bottom"/>
          </w:tcPr>
          <w:p>
            <w:pPr>
              <w:jc w:val="center"/>
              <w:ind w:right="633"/>
              <w:spacing w:after="0"/>
              <w:rPr>
                <w:sz w:val="20"/>
                <w:szCs w:val="20"/>
                <w:color w:val="auto"/>
              </w:rPr>
            </w:pPr>
            <w:r>
              <w:rPr>
                <w:rFonts w:ascii="Arial" w:cs="Arial" w:eastAsia="Arial" w:hAnsi="Arial"/>
                <w:sz w:val="13"/>
                <w:szCs w:val="13"/>
                <w:b w:val="1"/>
                <w:bCs w:val="1"/>
                <w:color w:val="auto"/>
              </w:rPr>
              <w:t>John C. Williams</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Chief Operating Officer and General Counsel</w:t>
            </w:r>
          </w:p>
        </w:tc>
        <w:tc>
          <w:tcPr>
            <w:tcW w:w="2480" w:type="dxa"/>
            <w:vAlign w:val="bottom"/>
          </w:tcPr>
          <w:p>
            <w:pPr>
              <w:jc w:val="center"/>
              <w:ind w:left="593"/>
              <w:spacing w:after="0"/>
              <w:rPr>
                <w:sz w:val="20"/>
                <w:szCs w:val="20"/>
                <w:color w:val="auto"/>
              </w:rPr>
            </w:pPr>
            <w:r>
              <w:rPr>
                <w:rFonts w:ascii="Arial" w:cs="Arial" w:eastAsia="Arial" w:hAnsi="Arial"/>
                <w:sz w:val="13"/>
                <w:szCs w:val="13"/>
                <w:b w:val="1"/>
                <w:bCs w:val="1"/>
                <w:color w:val="auto"/>
              </w:rPr>
              <w:t>Davis Polk &amp; Wardwell LLP</w:t>
            </w:r>
          </w:p>
        </w:tc>
      </w:tr>
      <w:tr>
        <w:trPr>
          <w:trHeight w:val="149"/>
        </w:trPr>
        <w:tc>
          <w:tcPr>
            <w:tcW w:w="2540" w:type="dxa"/>
            <w:vAlign w:val="bottom"/>
          </w:tcPr>
          <w:p>
            <w:pPr>
              <w:jc w:val="center"/>
              <w:ind w:right="653"/>
              <w:spacing w:after="0"/>
              <w:rPr>
                <w:sz w:val="20"/>
                <w:szCs w:val="20"/>
                <w:color w:val="auto"/>
              </w:rPr>
            </w:pPr>
            <w:r>
              <w:rPr>
                <w:rFonts w:ascii="Arial" w:cs="Arial" w:eastAsia="Arial" w:hAnsi="Arial"/>
                <w:sz w:val="13"/>
                <w:szCs w:val="13"/>
                <w:b w:val="1"/>
                <w:bCs w:val="1"/>
                <w:color w:val="auto"/>
              </w:rPr>
              <w:t>Latham &amp; Watkins LLP</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Revolution Medicines, Inc.</w:t>
            </w:r>
          </w:p>
        </w:tc>
        <w:tc>
          <w:tcPr>
            <w:tcW w:w="2480" w:type="dxa"/>
            <w:vAlign w:val="bottom"/>
          </w:tcPr>
          <w:p>
            <w:pPr>
              <w:jc w:val="center"/>
              <w:ind w:left="613"/>
              <w:spacing w:after="0"/>
              <w:rPr>
                <w:sz w:val="20"/>
                <w:szCs w:val="20"/>
                <w:color w:val="auto"/>
              </w:rPr>
            </w:pPr>
            <w:r>
              <w:rPr>
                <w:rFonts w:ascii="Arial" w:cs="Arial" w:eastAsia="Arial" w:hAnsi="Arial"/>
                <w:sz w:val="13"/>
                <w:szCs w:val="13"/>
                <w:b w:val="1"/>
                <w:bCs w:val="1"/>
                <w:color w:val="auto"/>
              </w:rPr>
              <w:t>1600 El Camino Real</w:t>
            </w:r>
          </w:p>
        </w:tc>
      </w:tr>
      <w:tr>
        <w:trPr>
          <w:trHeight w:val="148"/>
        </w:trPr>
        <w:tc>
          <w:tcPr>
            <w:tcW w:w="2540" w:type="dxa"/>
            <w:vAlign w:val="bottom"/>
          </w:tcPr>
          <w:p>
            <w:pPr>
              <w:jc w:val="center"/>
              <w:ind w:right="653"/>
              <w:spacing w:after="0"/>
              <w:rPr>
                <w:sz w:val="20"/>
                <w:szCs w:val="20"/>
                <w:color w:val="auto"/>
              </w:rPr>
            </w:pPr>
            <w:r>
              <w:rPr>
                <w:rFonts w:ascii="Arial" w:cs="Arial" w:eastAsia="Arial" w:hAnsi="Arial"/>
                <w:sz w:val="13"/>
                <w:szCs w:val="13"/>
                <w:b w:val="1"/>
                <w:bCs w:val="1"/>
                <w:color w:val="auto"/>
              </w:rPr>
              <w:t>140 Scott Drive</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700 Saginaw Drive</w:t>
            </w:r>
          </w:p>
        </w:tc>
        <w:tc>
          <w:tcPr>
            <w:tcW w:w="2480" w:type="dxa"/>
            <w:vAlign w:val="bottom"/>
          </w:tcPr>
          <w:p>
            <w:pPr>
              <w:jc w:val="center"/>
              <w:ind w:left="593"/>
              <w:spacing w:after="0"/>
              <w:rPr>
                <w:sz w:val="20"/>
                <w:szCs w:val="20"/>
                <w:color w:val="auto"/>
              </w:rPr>
            </w:pPr>
            <w:r>
              <w:rPr>
                <w:rFonts w:ascii="Arial" w:cs="Arial" w:eastAsia="Arial" w:hAnsi="Arial"/>
                <w:sz w:val="13"/>
                <w:szCs w:val="13"/>
                <w:b w:val="1"/>
                <w:bCs w:val="1"/>
                <w:color w:val="auto"/>
              </w:rPr>
              <w:t>Menlo Park, California 94025</w:t>
            </w:r>
          </w:p>
        </w:tc>
      </w:tr>
      <w:tr>
        <w:trPr>
          <w:trHeight w:val="148"/>
        </w:trPr>
        <w:tc>
          <w:tcPr>
            <w:tcW w:w="2540" w:type="dxa"/>
            <w:vAlign w:val="bottom"/>
          </w:tcPr>
          <w:p>
            <w:pPr>
              <w:jc w:val="center"/>
              <w:ind w:right="653"/>
              <w:spacing w:after="0"/>
              <w:rPr>
                <w:sz w:val="20"/>
                <w:szCs w:val="20"/>
                <w:color w:val="auto"/>
              </w:rPr>
            </w:pPr>
            <w:r>
              <w:rPr>
                <w:rFonts w:ascii="Arial" w:cs="Arial" w:eastAsia="Arial" w:hAnsi="Arial"/>
                <w:sz w:val="13"/>
                <w:szCs w:val="13"/>
                <w:b w:val="1"/>
                <w:bCs w:val="1"/>
                <w:color w:val="auto"/>
              </w:rPr>
              <w:t>Menlo Park, California 94025</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Redwood City, California 94063</w:t>
            </w:r>
          </w:p>
        </w:tc>
        <w:tc>
          <w:tcPr>
            <w:tcW w:w="2480" w:type="dxa"/>
            <w:vAlign w:val="bottom"/>
          </w:tcPr>
          <w:p>
            <w:pPr>
              <w:jc w:val="center"/>
              <w:ind w:left="593"/>
              <w:spacing w:after="0"/>
              <w:rPr>
                <w:sz w:val="20"/>
                <w:szCs w:val="20"/>
                <w:color w:val="auto"/>
              </w:rPr>
            </w:pPr>
            <w:r>
              <w:rPr>
                <w:rFonts w:ascii="Arial" w:cs="Arial" w:eastAsia="Arial" w:hAnsi="Arial"/>
                <w:sz w:val="13"/>
                <w:szCs w:val="13"/>
                <w:b w:val="1"/>
                <w:bCs w:val="1"/>
                <w:color w:val="auto"/>
              </w:rPr>
              <w:t>(650) 752-2000</w:t>
            </w:r>
          </w:p>
        </w:tc>
      </w:tr>
      <w:tr>
        <w:trPr>
          <w:trHeight w:val="178"/>
        </w:trPr>
        <w:tc>
          <w:tcPr>
            <w:tcW w:w="2540" w:type="dxa"/>
            <w:vAlign w:val="bottom"/>
          </w:tcPr>
          <w:p>
            <w:pPr>
              <w:jc w:val="center"/>
              <w:ind w:right="633"/>
              <w:spacing w:after="0"/>
              <w:rPr>
                <w:sz w:val="20"/>
                <w:szCs w:val="20"/>
                <w:color w:val="auto"/>
              </w:rPr>
            </w:pPr>
            <w:r>
              <w:rPr>
                <w:rFonts w:ascii="Arial" w:cs="Arial" w:eastAsia="Arial" w:hAnsi="Arial"/>
                <w:sz w:val="13"/>
                <w:szCs w:val="13"/>
                <w:b w:val="1"/>
                <w:bCs w:val="1"/>
                <w:color w:val="auto"/>
              </w:rPr>
              <w:t>(650) 328-4600</w:t>
            </w:r>
          </w:p>
        </w:tc>
        <w:tc>
          <w:tcPr>
            <w:tcW w:w="4220" w:type="dxa"/>
            <w:vAlign w:val="bottom"/>
          </w:tcPr>
          <w:p>
            <w:pPr>
              <w:jc w:val="center"/>
              <w:spacing w:after="0"/>
              <w:rPr>
                <w:sz w:val="20"/>
                <w:szCs w:val="20"/>
                <w:color w:val="auto"/>
              </w:rPr>
            </w:pPr>
            <w:r>
              <w:rPr>
                <w:rFonts w:ascii="Arial" w:cs="Arial" w:eastAsia="Arial" w:hAnsi="Arial"/>
                <w:sz w:val="13"/>
                <w:szCs w:val="13"/>
                <w:b w:val="1"/>
                <w:bCs w:val="1"/>
                <w:color w:val="auto"/>
              </w:rPr>
              <w:t>(650) 481-6801</w:t>
            </w:r>
          </w:p>
        </w:tc>
        <w:tc>
          <w:tcPr>
            <w:tcW w:w="2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spacing w:after="0"/>
        <w:rPr>
          <w:sz w:val="20"/>
          <w:szCs w:val="20"/>
          <w:color w:val="auto"/>
        </w:rPr>
      </w:pPr>
      <w:r>
        <w:rPr>
          <w:rFonts w:ascii="Arial" w:cs="Arial" w:eastAsia="Arial" w:hAnsi="Arial"/>
          <w:sz w:val="13"/>
          <w:szCs w:val="13"/>
          <w:color w:val="auto"/>
        </w:rPr>
        <w:t xml:space="preserve">Approximate date of commencement of proposed sale to the public: </w:t>
      </w:r>
      <w:r>
        <w:rPr>
          <w:rFonts w:ascii="Arial" w:cs="Arial" w:eastAsia="Arial" w:hAnsi="Arial"/>
          <w:sz w:val="13"/>
          <w:szCs w:val="13"/>
          <w:b w:val="1"/>
          <w:bCs w:val="1"/>
          <w:color w:val="auto"/>
        </w:rPr>
        <w:t>As soon as practicable after the effective date of this registration statement.</w:t>
      </w:r>
    </w:p>
    <w:p>
      <w:pPr>
        <w:spacing w:after="0" w:line="42" w:lineRule="exact"/>
        <w:rPr>
          <w:sz w:val="24"/>
          <w:szCs w:val="24"/>
          <w:color w:val="auto"/>
        </w:rPr>
      </w:pPr>
    </w:p>
    <w:p>
      <w:pPr>
        <w:ind w:left="120" w:right="420"/>
        <w:spacing w:after="0" w:line="162"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ind w:left="120" w:right="10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8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left="120" w:right="60"/>
        <w:spacing w:after="0" w:line="24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154"/>
        </w:trPr>
        <w:tc>
          <w:tcPr>
            <w:tcW w:w="15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2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5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60" w:type="dxa"/>
            <w:vAlign w:val="bottom"/>
          </w:tcPr>
          <w:p>
            <w:pPr>
              <w:ind w:left="342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5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260" w:type="dxa"/>
            <w:vAlign w:val="bottom"/>
          </w:tcPr>
          <w:p>
            <w:pPr>
              <w:ind w:left="3420"/>
              <w:spacing w:after="0"/>
              <w:rPr>
                <w:sz w:val="20"/>
                <w:szCs w:val="20"/>
                <w:color w:val="auto"/>
              </w:rPr>
            </w:pPr>
            <w:r>
              <w:rPr>
                <w:rFonts w:ascii="Arial" w:cs="Arial" w:eastAsia="Arial" w:hAnsi="Arial"/>
                <w:sz w:val="13"/>
                <w:szCs w:val="13"/>
                <w:color w:val="auto"/>
              </w:rPr>
              <w:t>Emerging growth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jc w:val="both"/>
        <w:ind w:left="120" w:right="8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60325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06"/>
        </w:trPr>
        <w:tc>
          <w:tcPr>
            <w:tcW w:w="774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ind w:left="14"/>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tcPr>
          <w:p>
            <w:pPr>
              <w:spacing w:after="0"/>
              <w:rPr>
                <w:sz w:val="9"/>
                <w:szCs w:val="9"/>
                <w:color w:val="auto"/>
              </w:rPr>
            </w:pPr>
          </w:p>
        </w:tc>
      </w:tr>
      <w:tr>
        <w:trPr>
          <w:trHeight w:val="148"/>
        </w:trPr>
        <w:tc>
          <w:tcPr>
            <w:tcW w:w="7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rPr>
              <w:t>aggregate</w:t>
            </w:r>
          </w:p>
        </w:tc>
        <w:tc>
          <w:tcPr>
            <w:tcW w:w="1640" w:type="dxa"/>
            <w:vAlign w:val="bottom"/>
          </w:tcPr>
          <w:p>
            <w:pPr>
              <w:jc w:val="center"/>
              <w:ind w:left="13"/>
              <w:spacing w:after="0"/>
              <w:rPr>
                <w:sz w:val="20"/>
                <w:szCs w:val="20"/>
                <w:color w:val="auto"/>
              </w:rPr>
            </w:pPr>
            <w:r>
              <w:rPr>
                <w:rFonts w:ascii="Arial" w:cs="Arial" w:eastAsia="Arial" w:hAnsi="Arial"/>
                <w:sz w:val="13"/>
                <w:szCs w:val="13"/>
                <w:b w:val="1"/>
                <w:bCs w:val="1"/>
                <w:color w:val="auto"/>
              </w:rPr>
              <w:t>Amount of</w:t>
            </w:r>
          </w:p>
        </w:tc>
      </w:tr>
      <w:tr>
        <w:trPr>
          <w:trHeight w:val="179"/>
        </w:trPr>
        <w:tc>
          <w:tcPr>
            <w:tcW w:w="7740" w:type="dxa"/>
            <w:vAlign w:val="bottom"/>
            <w:tcBorders>
              <w:bottom w:val="single" w:sz="8" w:color="auto"/>
              <w:right w:val="single" w:sz="8" w:color="auto"/>
            </w:tcBorders>
          </w:tcPr>
          <w:p>
            <w:pPr>
              <w:ind w:left="234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offering price(1)</w:t>
            </w:r>
          </w:p>
        </w:tc>
        <w:tc>
          <w:tcPr>
            <w:tcW w:w="16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b w:val="1"/>
                <w:bCs w:val="1"/>
                <w:color w:val="auto"/>
              </w:rPr>
              <w:t>registration fee(2)</w:t>
            </w:r>
          </w:p>
        </w:tc>
      </w:tr>
      <w:tr>
        <w:trPr>
          <w:trHeight w:val="142"/>
        </w:trPr>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3"/>
                <w:szCs w:val="13"/>
                <w:color w:val="auto"/>
              </w:rPr>
              <w:t>Common Stock, $0.0001 par value per share</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$196,138,250</w:t>
            </w:r>
          </w:p>
        </w:tc>
        <w:tc>
          <w:tcPr>
            <w:tcW w:w="1640" w:type="dxa"/>
            <w:vAlign w:val="bottom"/>
            <w:tcBorders>
              <w:bottom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$25,458.74</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4"/>
          <w:szCs w:val="24"/>
          <w:color w:val="auto"/>
        </w:rPr>
      </w:pPr>
    </w:p>
    <w:p>
      <w:pPr>
        <w:ind w:left="440" w:right="220" w:hanging="324"/>
        <w:spacing w:after="0" w:line="258"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 Includes shares of common stock that the underwriters have an option to purchase.</w:t>
      </w:r>
    </w:p>
    <w:p>
      <w:pPr>
        <w:spacing w:after="0" w:line="2"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68580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2" w:lineRule="exact"/>
        <w:rPr>
          <w:sz w:val="24"/>
          <w:szCs w:val="24"/>
          <w:color w:val="auto"/>
        </w:rPr>
      </w:pPr>
    </w:p>
    <w:p>
      <w:pPr>
        <w:ind w:left="120" w:right="40"/>
        <w:spacing w:after="0" w:line="261"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such offer or sale is not permitted.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C062A"/>
        </w:rPr>
        <w:t>Subject to completion, dated July 6, 2020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175260</wp:posOffset>
            </wp:positionV>
            <wp:extent cx="203136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32"/>
          <w:szCs w:val="32"/>
          <w:b w:val="1"/>
          <w:bCs w:val="1"/>
          <w:i w:val="1"/>
          <w:iCs w:val="1"/>
          <w:color w:val="auto"/>
        </w:rPr>
        <w:t>Common stock</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5,500,000 shares of our common stock.</w:t>
      </w:r>
    </w:p>
    <w:p>
      <w:pPr>
        <w:spacing w:after="0" w:line="212"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“RVMD.” The last reported sale price of our common stock on the Nasdaq Global Select Market on July 2, 2020 was $31.01 per share.</w:t>
      </w:r>
    </w:p>
    <w:p>
      <w:pPr>
        <w:spacing w:after="0" w:line="209" w:lineRule="exact"/>
        <w:rPr>
          <w:sz w:val="20"/>
          <w:szCs w:val="20"/>
          <w:color w:val="auto"/>
        </w:rPr>
      </w:pPr>
    </w:p>
    <w:p>
      <w:pPr>
        <w:ind w:left="120" w:right="680"/>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156210</wp:posOffset>
            </wp:positionV>
            <wp:extent cx="69951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538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2760"/>
              <w:spacing w:after="0"/>
              <w:rPr>
                <w:sz w:val="20"/>
                <w:szCs w:val="20"/>
                <w:color w:val="auto"/>
              </w:rPr>
            </w:pPr>
            <w:r>
              <w:rPr>
                <w:rFonts w:ascii="Arial" w:cs="Arial" w:eastAsia="Arial" w:hAnsi="Arial"/>
                <w:sz w:val="18"/>
                <w:szCs w:val="18"/>
                <w:b w:val="1"/>
                <w:bCs w:val="1"/>
                <w:color w:val="auto"/>
              </w:rPr>
              <w:t>Per share</w:t>
            </w:r>
          </w:p>
        </w:tc>
        <w:tc>
          <w:tcPr>
            <w:tcW w:w="16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115"/>
        </w:trPr>
        <w:tc>
          <w:tcPr>
            <w:tcW w:w="53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98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349"/>
        </w:trPr>
        <w:tc>
          <w:tcPr>
            <w:tcW w:w="5380" w:type="dxa"/>
            <w:vAlign w:val="bottom"/>
          </w:tcPr>
          <w:p>
            <w:pPr>
              <w:spacing w:after="0"/>
              <w:rPr>
                <w:sz w:val="20"/>
                <w:szCs w:val="20"/>
                <w:color w:val="auto"/>
              </w:rPr>
            </w:pPr>
            <w:r>
              <w:rPr>
                <w:rFonts w:ascii="Arial" w:cs="Arial" w:eastAsia="Arial" w:hAnsi="Arial"/>
                <w:sz w:val="18"/>
                <w:szCs w:val="18"/>
                <w:color w:val="auto"/>
              </w:rPr>
              <w:t>Underwriting discounts(1)</w:t>
            </w:r>
          </w:p>
        </w:tc>
        <w:tc>
          <w:tcPr>
            <w:tcW w:w="3980" w:type="dxa"/>
            <w:vAlign w:val="bottom"/>
          </w:tcPr>
          <w:p>
            <w:pPr>
              <w:ind w:left="2760"/>
              <w:spacing w:after="0"/>
              <w:rPr>
                <w:sz w:val="20"/>
                <w:szCs w:val="20"/>
                <w:color w:val="auto"/>
              </w:rPr>
            </w:pPr>
            <w:r>
              <w:rPr>
                <w:rFonts w:ascii="Arial" w:cs="Arial" w:eastAsia="Arial" w:hAnsi="Arial"/>
                <w:sz w:val="18"/>
                <w:szCs w:val="18"/>
                <w:color w:val="auto"/>
              </w:rPr>
              <w:t>$</w:t>
            </w:r>
          </w:p>
        </w:tc>
        <w:tc>
          <w:tcPr>
            <w:tcW w:w="1580" w:type="dxa"/>
            <w:vAlign w:val="bottom"/>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123"/>
        </w:trPr>
        <w:tc>
          <w:tcPr>
            <w:tcW w:w="53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980" w:type="dxa"/>
            <w:vAlign w:val="bottom"/>
            <w:shd w:val="clear" w:color="auto" w:fill="CCEEFF"/>
          </w:tcPr>
          <w:p>
            <w:pPr>
              <w:ind w:left="2760"/>
              <w:spacing w:after="0" w:line="202"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the section titled “Underwriting” on page 160 for additional information regarding compensation payable to the underwriters.</w:t>
      </w:r>
    </w:p>
    <w:p>
      <w:pPr>
        <w:spacing w:after="0" w:line="219" w:lineRule="exact"/>
        <w:rPr>
          <w:sz w:val="20"/>
          <w:szCs w:val="20"/>
          <w:color w:val="auto"/>
        </w:rPr>
      </w:pPr>
    </w:p>
    <w:p>
      <w:pPr>
        <w:ind w:left="120" w:right="40"/>
        <w:spacing w:after="0" w:line="299" w:lineRule="auto"/>
        <w:rPr>
          <w:sz w:val="20"/>
          <w:szCs w:val="20"/>
          <w:color w:val="auto"/>
        </w:rPr>
      </w:pPr>
      <w:r>
        <w:rPr>
          <w:rFonts w:ascii="Arial" w:cs="Arial" w:eastAsia="Arial" w:hAnsi="Arial"/>
          <w:sz w:val="16"/>
          <w:szCs w:val="16"/>
          <w:color w:val="auto"/>
        </w:rPr>
        <w:t>We have granted the underwriters an option to purchase up to an additional 825,000 shares from us at the public offering price less the underwriting discounts and commissions. The underwriters may exercise this right at any time within 30 days after the date of this prospectus.</w:t>
      </w:r>
    </w:p>
    <w:p>
      <w:pPr>
        <w:spacing w:after="0" w:line="141" w:lineRule="exact"/>
        <w:rPr>
          <w:sz w:val="20"/>
          <w:szCs w:val="20"/>
          <w:color w:val="auto"/>
        </w:rPr>
      </w:pPr>
    </w:p>
    <w:p>
      <w:pPr>
        <w:ind w:left="120" w:right="40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4">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 of this prospectus to read about factors you should consider before buying shares of our common stock.</w:t>
      </w:r>
    </w:p>
    <w:p>
      <w:pPr>
        <w:spacing w:after="0" w:line="166" w:lineRule="exact"/>
        <w:rPr>
          <w:sz w:val="20"/>
          <w:szCs w:val="20"/>
          <w:color w:val="auto"/>
        </w:rPr>
      </w:pPr>
    </w:p>
    <w:p>
      <w:pPr>
        <w:ind w:left="120" w:right="80"/>
        <w:spacing w:after="0" w:line="327"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11140"/>
          </w:cols>
          <w:pgMar w:left="320" w:top="459" w:right="439" w:bottom="1440" w:gutter="0" w:footer="0" w:header="0"/>
        </w:sectPr>
      </w:pPr>
    </w:p>
    <w:p>
      <w:pPr>
        <w:spacing w:after="0" w:line="1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expect to deliver the shares against payment 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2">
            <w:col w:w="5260" w:space="720"/>
            <w:col w:w="5160"/>
          </w:cols>
          <w:pgMar w:left="320" w:top="459" w:right="439" w:bottom="1440" w:gutter="0" w:footer="0" w:header="0"/>
          <w:type w:val="continuous"/>
        </w:sectPr>
      </w:pPr>
    </w:p>
    <w:p>
      <w:pPr>
        <w:spacing w:after="0" w:line="1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2020</w:t>
      </w:r>
    </w:p>
    <w:p>
      <w:pPr>
        <w:spacing w:after="0" w:line="200" w:lineRule="exact"/>
        <w:rPr>
          <w:sz w:val="20"/>
          <w:szCs w:val="20"/>
          <w:color w:val="auto"/>
        </w:rPr>
      </w:pPr>
    </w:p>
    <w:p>
      <w:pPr>
        <w:sectPr>
          <w:pgSz w:w="11900" w:h="16838" w:orient="portrait"/>
          <w:cols w:equalWidth="0" w:num="2">
            <w:col w:w="1700" w:space="720"/>
            <w:col w:w="8720"/>
          </w:cols>
          <w:pgMar w:left="320" w:top="459" w:right="439" w:bottom="1440" w:gutter="0" w:footer="0" w:header="0"/>
          <w:type w:val="continuous"/>
        </w:sectPr>
      </w:pPr>
    </w:p>
    <w:p>
      <w:pPr>
        <w:spacing w:after="0" w:line="44" w:lineRule="exact"/>
        <w:rPr>
          <w:sz w:val="20"/>
          <w:szCs w:val="20"/>
          <w:color w:val="auto"/>
        </w:rPr>
      </w:pPr>
    </w:p>
    <w:p>
      <w:pPr>
        <w:ind w:left="12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Guggenheim Securities</w:t>
      </w:r>
    </w:p>
    <w:p>
      <w:pPr>
        <w:sectPr>
          <w:pgSz w:w="11900" w:h="16838" w:orient="portrait"/>
          <w:cols w:equalWidth="0" w:num="4">
            <w:col w:w="1920" w:space="540"/>
            <w:col w:w="1140" w:space="720"/>
            <w:col w:w="2140" w:space="720"/>
            <w:col w:w="396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68"/>
        </w:trPr>
        <w:tc>
          <w:tcPr>
            <w:tcW w:w="810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Prospectus summary</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The offering</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Risk factors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Special note regarding forward-looking statements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77">
              <w:r>
                <w:rPr>
                  <w:rFonts w:ascii="Arial" w:cs="Arial" w:eastAsia="Arial" w:hAnsi="Arial"/>
                  <w:sz w:val="18"/>
                  <w:szCs w:val="18"/>
                  <w:b w:val="1"/>
                  <w:bCs w:val="1"/>
                  <w:u w:val="single" w:color="auto"/>
                  <w:color w:val="0000EE"/>
                </w:rPr>
                <w:t>Market and industry data</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78">
              <w:r>
                <w:rPr>
                  <w:rFonts w:ascii="Arial" w:cs="Arial" w:eastAsia="Arial" w:hAnsi="Arial"/>
                  <w:sz w:val="18"/>
                  <w:szCs w:val="18"/>
                  <w:b w:val="1"/>
                  <w:bCs w:val="1"/>
                  <w:u w:val="single" w:color="auto"/>
                  <w:color w:val="0000EE"/>
                </w:rPr>
                <w:t>Use of proceeds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80">
              <w:r>
                <w:rPr>
                  <w:rFonts w:ascii="Arial" w:cs="Arial" w:eastAsia="Arial" w:hAnsi="Arial"/>
                  <w:sz w:val="18"/>
                  <w:szCs w:val="18"/>
                  <w:b w:val="1"/>
                  <w:bCs w:val="1"/>
                  <w:u w:val="single" w:color="auto"/>
                  <w:color w:val="0000EE"/>
                </w:rPr>
                <w:t>Dividend policy</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81">
              <w:r>
                <w:rPr>
                  <w:rFonts w:ascii="Arial" w:cs="Arial" w:eastAsia="Arial" w:hAnsi="Arial"/>
                  <w:sz w:val="18"/>
                  <w:szCs w:val="18"/>
                  <w:b w:val="1"/>
                  <w:bCs w:val="1"/>
                  <w:u w:val="single" w:color="auto"/>
                  <w:color w:val="0000EE"/>
                </w:rPr>
                <w:t>Capitalization</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Dilution</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Business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51">
              <w:r>
                <w:rPr>
                  <w:rFonts w:ascii="Arial" w:cs="Arial" w:eastAsia="Arial" w:hAnsi="Arial"/>
                  <w:sz w:val="18"/>
                  <w:szCs w:val="18"/>
                  <w:b w:val="1"/>
                  <w:bCs w:val="1"/>
                  <w:u w:val="single" w:color="auto"/>
                  <w:color w:val="0000EE"/>
                </w:rPr>
                <w:t>Description of capital stock</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56">
              <w:r>
                <w:rPr>
                  <w:rFonts w:ascii="Arial" w:cs="Arial" w:eastAsia="Arial" w:hAnsi="Arial"/>
                  <w:sz w:val="18"/>
                  <w:szCs w:val="18"/>
                  <w:b w:val="1"/>
                  <w:bCs w:val="1"/>
                  <w:u w:val="single" w:color="auto"/>
                  <w:color w:val="0000EE"/>
                </w:rPr>
                <w:t>Shares eligible for future sale</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59">
              <w:r>
                <w:rPr>
                  <w:rFonts w:ascii="Arial" w:cs="Arial" w:eastAsia="Arial" w:hAnsi="Arial"/>
                  <w:sz w:val="18"/>
                  <w:szCs w:val="18"/>
                  <w:b w:val="1"/>
                  <w:bCs w:val="1"/>
                  <w:u w:val="single" w:color="auto"/>
                  <w:color w:val="0000EE"/>
                </w:rPr>
                <w:t>Material U.S. federal income tax consequences to non-U.S. holders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63">
              <w:r>
                <w:rPr>
                  <w:rFonts w:ascii="Arial" w:cs="Arial" w:eastAsia="Arial" w:hAnsi="Arial"/>
                  <w:sz w:val="18"/>
                  <w:szCs w:val="18"/>
                  <w:b w:val="1"/>
                  <w:bCs w:val="1"/>
                  <w:u w:val="single" w:color="auto"/>
                  <w:color w:val="0000EE"/>
                </w:rPr>
                <w:t>Underwriting</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Legal matters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Experts</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Where you can find more information</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8100" w:type="dxa"/>
            <w:vAlign w:val="bottom"/>
          </w:tcPr>
          <w:p>
            <w:pPr>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Incorporation of certain information by reference</w:t>
              </w:r>
            </w:hyperlink>
          </w:p>
        </w:tc>
        <w:tc>
          <w:tcPr>
            <w:tcW w:w="284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or incorporated by reference in this prospectus or in any free writing prospectus we may authorize to be delivered or made available to you. We and the underwriters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or incorporated by reference in this prospectus is accurate only as of the date on the front of this prospectus, or other earlier date stated in this prospectus or in the applicable document incorporated by reference, regardless of the time of delivery of this prospectus or any sale of shares of our common stock. Our business, financial condition, results of operations and prospects may have changed since that date.</w:t>
      </w:r>
    </w:p>
    <w:p>
      <w:pPr>
        <w:spacing w:after="0" w:line="100" w:lineRule="exact"/>
        <w:rPr>
          <w:sz w:val="20"/>
          <w:szCs w:val="20"/>
          <w:color w:val="auto"/>
        </w:rPr>
      </w:pPr>
    </w:p>
    <w:p>
      <w:pPr>
        <w:ind w:left="120" w:right="440"/>
        <w:spacing w:after="0" w:line="237"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00"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Revolution Medicines</w:t>
      </w:r>
      <w:r>
        <w:rPr>
          <w:rFonts w:ascii="Arial" w:cs="Arial" w:eastAsia="Arial" w:hAnsi="Arial"/>
          <w:sz w:val="11"/>
          <w:szCs w:val="11"/>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service marks and tradenames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and </w:t>
      </w:r>
      <w:r>
        <w:rPr>
          <w:rFonts w:ascii="Arial" w:cs="Arial" w:eastAsia="Arial" w:hAnsi="Arial"/>
          <w:sz w:val="11"/>
          <w:szCs w:val="11"/>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service marks and tradenames.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Prospectus summary</w:t>
      </w:r>
    </w:p>
    <w:p>
      <w:pPr>
        <w:spacing w:after="0" w:line="139" w:lineRule="exact"/>
        <w:rPr>
          <w:sz w:val="20"/>
          <w:szCs w:val="20"/>
          <w:color w:val="auto"/>
        </w:rPr>
      </w:pPr>
    </w:p>
    <w:p>
      <w:pPr>
        <w:ind w:left="300" w:right="40"/>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 this prospectus. This summary does not contain all of the information you should consider before investing in our common stock. You should read this entire prospectus carefully, including information in our filings with the Securities and Exchange Commission, or SEC, incorporated by reference in this prospectus, before deciding to invest in our common stock. You should carefully consider the information set forth in our consolidated financial statements and the related notes thereto and the information in the section entitled “Risk factors.” As used in this prospectus, unless the context otherwise requires, references to “we,” “us,” “our,” “our company,” “the Company” and “Revolution Medicines” refer to Revolution Medicines, Inc. and its subsidiary taken as a whole.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300" w:right="40"/>
        <w:spacing w:after="0" w:line="241"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We define </w:t>
      </w:r>
      <w:r>
        <w:rPr>
          <w:rFonts w:ascii="Arial" w:cs="Arial" w:eastAsia="Arial" w:hAnsi="Arial"/>
          <w:sz w:val="18"/>
          <w:szCs w:val="18"/>
          <w:i w:val="1"/>
          <w:iCs w:val="1"/>
          <w:color w:val="auto"/>
        </w:rPr>
        <w:t xml:space="preserve">frontier </w:t>
      </w:r>
      <w:r>
        <w:rPr>
          <w:rFonts w:ascii="Arial" w:cs="Arial" w:eastAsia="Arial" w:hAnsi="Arial"/>
          <w:sz w:val="18"/>
          <w:szCs w:val="18"/>
          <w:color w:val="auto"/>
        </w:rPr>
        <w:t>targets as proteins that play an important role in cancer and for which there is either: no approved drug that directly inhibits it, or</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approved drugs that directly inhibit it but through a mechanism of action that may not enable suppression of the full range of its biologic contributions to cancer.</w:t>
      </w:r>
    </w:p>
    <w:p>
      <w:pPr>
        <w:spacing w:after="0" w:line="99" w:lineRule="exact"/>
        <w:rPr>
          <w:sz w:val="20"/>
          <w:szCs w:val="20"/>
          <w:color w:val="auto"/>
        </w:rPr>
      </w:pPr>
    </w:p>
    <w:p>
      <w:pPr>
        <w:ind w:left="300" w:right="100"/>
        <w:spacing w:after="0" w:line="236" w:lineRule="auto"/>
        <w:rPr>
          <w:sz w:val="20"/>
          <w:szCs w:val="20"/>
          <w:color w:val="auto"/>
        </w:rPr>
      </w:pPr>
      <w:r>
        <w:rPr>
          <w:rFonts w:ascii="Arial" w:cs="Arial" w:eastAsia="Arial" w:hAnsi="Arial"/>
          <w:sz w:val="18"/>
          <w:szCs w:val="18"/>
          <w:color w:val="auto"/>
        </w:rPr>
        <w:t>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under the heading “Business—Our pipeline—Our SHP2 inhibitor, RMC-4630—Preclinical profile of RMC-4630.” SHP2 is a central node in the RAS signaling pathway.</w:t>
      </w:r>
    </w:p>
    <w:p>
      <w:pPr>
        <w:spacing w:after="0" w:line="102" w:lineRule="exact"/>
        <w:rPr>
          <w:sz w:val="20"/>
          <w:szCs w:val="20"/>
          <w:color w:val="auto"/>
        </w:rPr>
      </w:pPr>
    </w:p>
    <w:p>
      <w:pPr>
        <w:ind w:left="300" w:right="580"/>
        <w:spacing w:after="0" w:line="234" w:lineRule="auto"/>
        <w:rPr>
          <w:sz w:val="20"/>
          <w:szCs w:val="20"/>
          <w:color w:val="auto"/>
        </w:rPr>
      </w:pPr>
      <w:r>
        <w:rPr>
          <w:rFonts w:ascii="Arial" w:cs="Arial" w:eastAsia="Arial" w:hAnsi="Arial"/>
          <w:sz w:val="18"/>
          <w:szCs w:val="18"/>
          <w:color w:val="auto"/>
        </w:rPr>
        <w:t>In collaboration with Sanofi, we are evaluating RMC-4630 in a multi-cohort Phase 1/2 clinical program. This RMC-4630 Phase 1/2 program currently consists of four active clinical trials: (i) RMC-4630-01, a Phase 1 study of RMC-4630 as a single agent,</w:t>
      </w:r>
    </w:p>
    <w:p>
      <w:pPr>
        <w:spacing w:after="0" w:line="1" w:lineRule="exact"/>
        <w:rPr>
          <w:sz w:val="20"/>
          <w:szCs w:val="20"/>
          <w:color w:val="auto"/>
        </w:rPr>
      </w:pPr>
    </w:p>
    <w:p>
      <w:pPr>
        <w:ind w:left="300" w:right="40" w:hanging="2"/>
        <w:spacing w:after="0" w:line="224" w:lineRule="auto"/>
        <w:tabs>
          <w:tab w:leader="none" w:pos="544" w:val="left"/>
        </w:tabs>
        <w:numPr>
          <w:ilvl w:val="0"/>
          <w:numId w:val="3"/>
        </w:numPr>
        <w:rPr>
          <w:rFonts w:ascii="Arial" w:cs="Arial" w:eastAsia="Arial" w:hAnsi="Arial"/>
          <w:sz w:val="18"/>
          <w:szCs w:val="18"/>
          <w:color w:val="auto"/>
        </w:rPr>
      </w:pPr>
      <w:r>
        <w:rPr>
          <w:rFonts w:ascii="Arial" w:cs="Arial" w:eastAsia="Arial" w:hAnsi="Arial"/>
          <w:sz w:val="18"/>
          <w:szCs w:val="18"/>
          <w:color w:val="auto"/>
        </w:rPr>
        <w:t>RMC-4630-02, a Phase 1b/2 study of RMC-4630 in combination with the MEK inhibitor cobimetinib (Cotellic), (iii) a Phase 1b study of RMC-4630 in combination with the KRAS</w:t>
      </w:r>
      <w:r>
        <w:rPr>
          <w:rFonts w:ascii="Arial" w:cs="Arial" w:eastAsia="Arial" w:hAnsi="Arial"/>
          <w:sz w:val="22"/>
          <w:szCs w:val="22"/>
          <w:color w:val="auto"/>
          <w:vertAlign w:val="superscript"/>
        </w:rPr>
        <w:t>G12C</w:t>
      </w:r>
      <w:r>
        <w:rPr>
          <w:rFonts w:ascii="Arial" w:cs="Arial" w:eastAsia="Arial" w:hAnsi="Arial"/>
          <w:sz w:val="18"/>
          <w:szCs w:val="18"/>
          <w:color w:val="auto"/>
        </w:rPr>
        <w:t>(OFF) inhibitor AMG 510, or sotorasib, being sponsored by Amgen as part of its CodebreaK 101 study, and (iv) a Phase 1 study of RMC-4630 in combination with the PD-1 inhibitor pembrolizumab (Keytruda), being sponsored by our collaboration partner Sanofi.</w:t>
      </w:r>
    </w:p>
    <w:p>
      <w:pPr>
        <w:spacing w:after="0" w:line="102" w:lineRule="exact"/>
        <w:rPr>
          <w:sz w:val="20"/>
          <w:szCs w:val="20"/>
          <w:color w:val="auto"/>
        </w:rPr>
      </w:pPr>
    </w:p>
    <w:p>
      <w:pPr>
        <w:ind w:left="300"/>
        <w:spacing w:after="0" w:line="231" w:lineRule="auto"/>
        <w:rPr>
          <w:sz w:val="20"/>
          <w:szCs w:val="20"/>
          <w:color w:val="auto"/>
        </w:rPr>
      </w:pPr>
      <w:r>
        <w:rPr>
          <w:rFonts w:ascii="Arial" w:cs="Arial" w:eastAsia="Arial" w:hAnsi="Arial"/>
          <w:sz w:val="18"/>
          <w:szCs w:val="18"/>
          <w:color w:val="auto"/>
        </w:rPr>
        <w:t xml:space="preserve">In this prospectus, we summarize preliminary data from 87 patients who had enrolled in our Phase 1 study and received RMC-4630 as a monotherapy as of May 4, 2020. In addition, we report preliminary data from eight patients who had been enrolled in our Phase 1b/2 study of RMC-4630 in combination with the MEK inhibitor cobimetinib, had received study medication at the first dose level and were evaluable for safety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preclinical models. Initially, we will prioritize four mutant RAS(ON) targets—KRAS</w:t>
      </w:r>
      <w:r>
        <w:rPr>
          <w:rFonts w:ascii="Arial" w:cs="Arial" w:eastAsia="Arial" w:hAnsi="Arial"/>
          <w:sz w:val="22"/>
          <w:szCs w:val="22"/>
          <w:color w:val="auto"/>
          <w:vertAlign w:val="superscript"/>
        </w:rPr>
        <w:t>G12C</w:t>
      </w:r>
      <w:r>
        <w:rPr>
          <w:rFonts w:ascii="Arial" w:cs="Arial" w:eastAsia="Arial" w:hAnsi="Arial"/>
          <w:sz w:val="18"/>
          <w:szCs w:val="18"/>
          <w:color w:val="auto"/>
        </w:rPr>
        <w:t>, KRAS</w:t>
      </w:r>
      <w:r>
        <w:rPr>
          <w:rFonts w:ascii="Arial" w:cs="Arial" w:eastAsia="Arial" w:hAnsi="Arial"/>
          <w:sz w:val="22"/>
          <w:szCs w:val="22"/>
          <w:color w:val="auto"/>
          <w:vertAlign w:val="superscript"/>
        </w:rPr>
        <w:t>G13C</w:t>
      </w:r>
      <w:r>
        <w:rPr>
          <w:rFonts w:ascii="Arial" w:cs="Arial" w:eastAsia="Arial" w:hAnsi="Arial"/>
          <w:sz w:val="18"/>
          <w:szCs w:val="18"/>
          <w:color w:val="auto"/>
        </w:rPr>
        <w:t>, KRAS</w:t>
      </w:r>
      <w:r>
        <w:rPr>
          <w:rFonts w:ascii="Arial" w:cs="Arial" w:eastAsia="Arial" w:hAnsi="Arial"/>
          <w:sz w:val="22"/>
          <w:szCs w:val="22"/>
          <w:color w:val="auto"/>
          <w:vertAlign w:val="superscript"/>
        </w:rPr>
        <w:t>G12D</w:t>
      </w:r>
      <w:r>
        <w:rPr>
          <w:rFonts w:ascii="Arial" w:cs="Arial" w:eastAsia="Arial" w:hAnsi="Arial"/>
          <w:sz w:val="18"/>
          <w:szCs w:val="18"/>
          <w:color w:val="auto"/>
        </w:rPr>
        <w:t xml:space="preserve"> and NRAS</w:t>
      </w:r>
      <w:r>
        <w:rPr>
          <w:rFonts w:ascii="Arial" w:cs="Arial" w:eastAsia="Arial" w:hAnsi="Arial"/>
          <w:sz w:val="22"/>
          <w:szCs w:val="22"/>
          <w:color w:val="auto"/>
          <w:vertAlign w:val="superscript"/>
        </w:rPr>
        <w:t>G12C</w:t>
      </w:r>
      <w:r>
        <w:rPr>
          <w:rFonts w:ascii="Arial" w:cs="Arial" w:eastAsia="Arial" w:hAnsi="Arial"/>
          <w:sz w:val="18"/>
          <w:szCs w:val="18"/>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right="80"/>
        <w:spacing w:after="0" w:line="281" w:lineRule="auto"/>
        <w:rPr>
          <w:sz w:val="20"/>
          <w:szCs w:val="20"/>
          <w:color w:val="auto"/>
        </w:rPr>
      </w:pPr>
      <w:r>
        <w:rPr>
          <w:rFonts w:ascii="Arial" w:cs="Arial" w:eastAsia="Arial" w:hAnsi="Arial"/>
          <w:sz w:val="16"/>
          <w:szCs w:val="16"/>
          <w:color w:val="auto"/>
        </w:rPr>
        <w:t>Under our collaboration on our SHP2 program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opportunity and innovation engine</w:t>
      </w:r>
    </w:p>
    <w:p>
      <w:pPr>
        <w:spacing w:after="0" w:line="134" w:lineRule="exact"/>
        <w:rPr>
          <w:sz w:val="20"/>
          <w:szCs w:val="20"/>
          <w:color w:val="auto"/>
        </w:rPr>
      </w:pPr>
    </w:p>
    <w:p>
      <w:pPr>
        <w:jc w:val="both"/>
        <w:ind w:left="300" w:right="440"/>
        <w:spacing w:after="0" w:line="238" w:lineRule="auto"/>
        <w:rPr>
          <w:sz w:val="20"/>
          <w:szCs w:val="20"/>
          <w:color w:val="auto"/>
        </w:rPr>
      </w:pPr>
      <w:r>
        <w:rPr>
          <w:rFonts w:ascii="Arial" w:cs="Arial" w:eastAsia="Arial" w:hAnsi="Arial"/>
          <w:sz w:val="18"/>
          <w:szCs w:val="18"/>
          <w:color w:val="auto"/>
        </w:rPr>
        <w:t>We have built an innovation engine that enables us to discover and develop novel targeted therapies for elusive high-value frontier cancer targets with particular focus on a cohesive set of disease targets within notorious growth and survival pathways. This engine consists of three complementary drivers:</w:t>
      </w:r>
    </w:p>
    <w:p>
      <w:pPr>
        <w:spacing w:after="0" w:line="91" w:lineRule="exact"/>
        <w:rPr>
          <w:sz w:val="20"/>
          <w:szCs w:val="20"/>
          <w:color w:val="auto"/>
        </w:rPr>
      </w:pPr>
    </w:p>
    <w:p>
      <w:pPr>
        <w:ind w:left="480" w:right="440" w:hanging="182"/>
        <w:spacing w:after="0" w:line="264"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80" w:right="180" w:hanging="182"/>
        <w:spacing w:after="0" w:line="264" w:lineRule="auto"/>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80" w:right="180" w:hanging="182"/>
        <w:spacing w:after="0" w:line="327"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product candidates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RMC-4630, a SHP2 inhibitor</w:t>
      </w:r>
    </w:p>
    <w:p>
      <w:pPr>
        <w:spacing w:after="0" w:line="124" w:lineRule="exact"/>
        <w:rPr>
          <w:sz w:val="20"/>
          <w:szCs w:val="20"/>
          <w:color w:val="auto"/>
        </w:rPr>
      </w:pPr>
    </w:p>
    <w:p>
      <w:pPr>
        <w:ind w:left="300"/>
        <w:spacing w:after="0" w:line="275" w:lineRule="auto"/>
        <w:rPr>
          <w:sz w:val="20"/>
          <w:szCs w:val="20"/>
          <w:color w:val="auto"/>
        </w:rPr>
      </w:pPr>
      <w:r>
        <w:rPr>
          <w:rFonts w:ascii="Arial" w:cs="Arial" w:eastAsia="Arial" w:hAnsi="Arial"/>
          <w:sz w:val="16"/>
          <w:szCs w:val="16"/>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This RMC-4630 Phase 1/2 program currently consists of four active clinical trials: (i) RMC-4630-01, a Phase 1 study</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1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RMC-4630 as a single agent, RMC-4630-02, (ii) a Phase 1b/2 study of RMC-4630 in combination with the MEK inhibitor cobimetinib,</w:t>
      </w:r>
    </w:p>
    <w:p>
      <w:pPr>
        <w:spacing w:after="0" w:line="19" w:lineRule="exact"/>
        <w:rPr>
          <w:sz w:val="20"/>
          <w:szCs w:val="20"/>
          <w:color w:val="auto"/>
        </w:rPr>
      </w:pPr>
    </w:p>
    <w:p>
      <w:pPr>
        <w:ind w:left="300" w:right="20" w:hanging="2"/>
        <w:spacing w:after="0" w:line="227" w:lineRule="auto"/>
        <w:tabs>
          <w:tab w:leader="none" w:pos="583"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Phase 1b study of RMC-4630 in combination with the KRAS</w:t>
      </w:r>
      <w:r>
        <w:rPr>
          <w:rFonts w:ascii="Arial" w:cs="Arial" w:eastAsia="Arial" w:hAnsi="Arial"/>
          <w:sz w:val="22"/>
          <w:szCs w:val="22"/>
          <w:color w:val="auto"/>
          <w:vertAlign w:val="superscript"/>
        </w:rPr>
        <w:t>G12C</w:t>
      </w:r>
      <w:r>
        <w:rPr>
          <w:rFonts w:ascii="Arial" w:cs="Arial" w:eastAsia="Arial" w:hAnsi="Arial"/>
          <w:sz w:val="18"/>
          <w:szCs w:val="18"/>
          <w:color w:val="auto"/>
        </w:rPr>
        <w:t>(OFF) inhibitor sotorasib, being sponsored by Amgen, and (iv) a Phase 1 study of RMC-4630 in combination with the PD-1 inhibitor pembrolizumab (Keytruda), being sponsored by our collaboration partner Sanofi. In this prospectus, we report preliminary data from 87 patients who had enrolled in our Phase 1 study and received RMC-4630 as a monotherapy as of May 4, 2020. In addition, we report preliminary data from eight patients who had been enrolled in our Phase 1b/2 study of RMC-4630 in combination with cobimetinib, had received study medication at the first dose level and were evaluable for safety as of November 14, 2019.</w:t>
      </w:r>
    </w:p>
    <w:p>
      <w:pPr>
        <w:spacing w:after="0" w:line="105" w:lineRule="exact"/>
        <w:rPr>
          <w:sz w:val="20"/>
          <w:szCs w:val="20"/>
          <w:color w:val="auto"/>
        </w:rPr>
      </w:pPr>
    </w:p>
    <w:p>
      <w:pPr>
        <w:ind w:left="300" w:right="80"/>
        <w:spacing w:after="0" w:line="236" w:lineRule="auto"/>
        <w:rPr>
          <w:sz w:val="20"/>
          <w:szCs w:val="20"/>
          <w:color w:val="auto"/>
        </w:rPr>
      </w:pPr>
      <w:r>
        <w:rPr>
          <w:rFonts w:ascii="Arial" w:cs="Arial" w:eastAsia="Arial" w:hAnsi="Arial"/>
          <w:sz w:val="18"/>
          <w:szCs w:val="18"/>
          <w:color w:val="auto"/>
        </w:rPr>
        <w:t>The RMC-4630-01 study is evaluating the safety, tolerability, pharmacokinetics and pharmacodynamic effects of RMC-4630 as a single agent under two different dosing schedules: daily and twice weekly intermittent schedules. 49 patients were treated with the daily schedule and 38 patients were treated on an intermittent schedule. Although both dosing regimens have been reasonably well tolerated, daily dosing has been associated with more frequent and severe adverse events than the intermittent schedule. Adverse events in both schedules were consistent with the expected mechanistic effects of the product candidate; including anemia, thrombocytopenia, edema, fatigue and diarrhea.</w:t>
      </w:r>
    </w:p>
    <w:p>
      <w:pPr>
        <w:spacing w:after="0" w:line="102" w:lineRule="exact"/>
        <w:rPr>
          <w:sz w:val="20"/>
          <w:szCs w:val="20"/>
          <w:color w:val="auto"/>
        </w:rPr>
      </w:pPr>
    </w:p>
    <w:p>
      <w:pPr>
        <w:ind w:left="300" w:right="20"/>
        <w:spacing w:after="0" w:line="236" w:lineRule="auto"/>
        <w:rPr>
          <w:sz w:val="20"/>
          <w:szCs w:val="20"/>
          <w:color w:val="auto"/>
        </w:rPr>
      </w:pPr>
      <w:r>
        <w:rPr>
          <w:rFonts w:ascii="Arial" w:cs="Arial" w:eastAsia="Arial" w:hAnsi="Arial"/>
          <w:sz w:val="18"/>
          <w:szCs w:val="18"/>
          <w:color w:val="auto"/>
        </w:rPr>
        <w:t>The RMC-4630-02 study is evaluating the safety, tolerability and pharmacokinetics of RMC-4630 and cobimetinib using intermittent dosing of RMC-4630 with daily dosing of cobimetinib. Adverse events were consistent with the expected mechanistic effects of both SHP2 inhibition and MEK inhibition and are similar in nature to those observed in the RMC-4630-01 study, including edema, diarrhea and other gastrointestinal toxicity, anemia and rash. An alternative schedule using intermittent dosing of both RMC-4630 and cobimetinib is being evaluated.</w:t>
      </w:r>
    </w:p>
    <w:p>
      <w:pPr>
        <w:spacing w:after="0" w:line="103" w:lineRule="exact"/>
        <w:rPr>
          <w:sz w:val="20"/>
          <w:szCs w:val="20"/>
          <w:color w:val="auto"/>
        </w:rPr>
      </w:pPr>
    </w:p>
    <w:p>
      <w:pPr>
        <w:ind w:left="300" w:right="80"/>
        <w:spacing w:after="0" w:line="281" w:lineRule="auto"/>
        <w:rPr>
          <w:sz w:val="20"/>
          <w:szCs w:val="20"/>
          <w:color w:val="auto"/>
        </w:rPr>
      </w:pPr>
      <w:r>
        <w:rPr>
          <w:rFonts w:ascii="Arial" w:cs="Arial" w:eastAsia="Arial" w:hAnsi="Arial"/>
          <w:sz w:val="17"/>
          <w:szCs w:val="17"/>
          <w:color w:val="auto"/>
        </w:rPr>
        <w:t>We and our collaborators also plan to explore the potential clinical benefit of RMC-4630 in combination with other in-pathway agents such as RTK (initially EGFR) and other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inhibitors, including our own KRAS</w:t>
      </w:r>
      <w:r>
        <w:rPr>
          <w:rFonts w:ascii="Arial" w:cs="Arial" w:eastAsia="Arial" w:hAnsi="Arial"/>
          <w:sz w:val="21"/>
          <w:szCs w:val="21"/>
          <w:color w:val="auto"/>
          <w:vertAlign w:val="superscript"/>
        </w:rPr>
        <w:t>G12C</w:t>
      </w:r>
      <w:r>
        <w:rPr>
          <w:rFonts w:ascii="Arial" w:cs="Arial" w:eastAsia="Arial" w:hAnsi="Arial"/>
          <w:sz w:val="17"/>
          <w:szCs w:val="17"/>
          <w:color w:val="auto"/>
        </w:rPr>
        <w:t>(ON) inhibitors, as well as other PD-1 inhibitors.</w:t>
      </w:r>
    </w:p>
    <w:p>
      <w:pPr>
        <w:spacing w:after="0" w:line="1" w:lineRule="exact"/>
        <w:rPr>
          <w:sz w:val="20"/>
          <w:szCs w:val="20"/>
          <w:color w:val="auto"/>
        </w:rPr>
      </w:pPr>
    </w:p>
    <w:p>
      <w:pPr>
        <w:ind w:left="300" w:right="440"/>
        <w:spacing w:after="0" w:line="239"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RAS(ON) portfolio</w:t>
      </w:r>
    </w:p>
    <w:p>
      <w:pPr>
        <w:spacing w:after="0" w:line="124" w:lineRule="exact"/>
        <w:rPr>
          <w:sz w:val="20"/>
          <w:szCs w:val="20"/>
          <w:color w:val="auto"/>
        </w:rPr>
      </w:pPr>
    </w:p>
    <w:p>
      <w:pPr>
        <w:ind w:left="300"/>
        <w:spacing w:after="0" w:line="245" w:lineRule="auto"/>
        <w:rPr>
          <w:sz w:val="20"/>
          <w:szCs w:val="20"/>
          <w:color w:val="auto"/>
        </w:rPr>
      </w:pPr>
      <w:r>
        <w:rPr>
          <w:rFonts w:ascii="Arial" w:cs="Arial" w:eastAsia="Arial" w:hAnsi="Arial"/>
          <w:sz w:val="17"/>
          <w:szCs w:val="17"/>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 tumor cells that are addicted to high levels of RAS activation, we believe that selective inhibitors of RAS(ON) will suppress cell growth and survival and be less susceptible to adaptive resistance mechanisms recognized for RAS(OFF) inhibitors. Initially, we will prioritize four mutant RAS(ON) targets—KRAS</w:t>
      </w:r>
      <w:r>
        <w:rPr>
          <w:rFonts w:ascii="Arial" w:cs="Arial" w:eastAsia="Arial" w:hAnsi="Arial"/>
          <w:sz w:val="21"/>
          <w:szCs w:val="21"/>
          <w:color w:val="auto"/>
          <w:vertAlign w:val="superscript"/>
        </w:rPr>
        <w:t>G12C</w:t>
      </w:r>
      <w:r>
        <w:rPr>
          <w:rFonts w:ascii="Arial" w:cs="Arial" w:eastAsia="Arial" w:hAnsi="Arial"/>
          <w:sz w:val="17"/>
          <w:szCs w:val="17"/>
          <w:color w:val="auto"/>
        </w:rPr>
        <w:t>, KRAS</w:t>
      </w:r>
      <w:r>
        <w:rPr>
          <w:rFonts w:ascii="Arial" w:cs="Arial" w:eastAsia="Arial" w:hAnsi="Arial"/>
          <w:sz w:val="21"/>
          <w:szCs w:val="21"/>
          <w:color w:val="auto"/>
          <w:vertAlign w:val="superscript"/>
        </w:rPr>
        <w:t>G13C</w:t>
      </w:r>
      <w:r>
        <w:rPr>
          <w:rFonts w:ascii="Arial" w:cs="Arial" w:eastAsia="Arial" w:hAnsi="Arial"/>
          <w:sz w:val="17"/>
          <w:szCs w:val="17"/>
          <w:color w:val="auto"/>
        </w:rPr>
        <w:t>, KRAS</w:t>
      </w:r>
      <w:r>
        <w:rPr>
          <w:rFonts w:ascii="Arial" w:cs="Arial" w:eastAsia="Arial" w:hAnsi="Arial"/>
          <w:sz w:val="21"/>
          <w:szCs w:val="21"/>
          <w:color w:val="auto"/>
          <w:vertAlign w:val="superscript"/>
        </w:rPr>
        <w:t>G12D</w:t>
      </w:r>
      <w:r>
        <w:rPr>
          <w:rFonts w:ascii="Arial" w:cs="Arial" w:eastAsia="Arial" w:hAnsi="Arial"/>
          <w:sz w:val="17"/>
          <w:szCs w:val="17"/>
          <w:color w:val="auto"/>
        </w:rPr>
        <w:t xml:space="preserve"> and NRAS</w:t>
      </w:r>
      <w:r>
        <w:rPr>
          <w:rFonts w:ascii="Arial" w:cs="Arial" w:eastAsia="Arial" w:hAnsi="Arial"/>
          <w:sz w:val="21"/>
          <w:szCs w:val="21"/>
          <w:color w:val="auto"/>
          <w:vertAlign w:val="superscript"/>
        </w:rPr>
        <w:t>G12C</w:t>
      </w:r>
      <w:r>
        <w:rPr>
          <w:rFonts w:ascii="Arial" w:cs="Arial" w:eastAsia="Arial" w:hAnsi="Arial"/>
          <w:sz w:val="17"/>
          <w:szCs w:val="17"/>
          <w:color w:val="auto"/>
        </w:rPr>
        <w:t>—and expect to nominate our first development candidate in 2020. We plan to evaluate our RAS(ON) inhibitors alone and in combination with other approved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6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1644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SOS1 and 4EBP1/mTORC1 programs</w:t>
      </w:r>
    </w:p>
    <w:p>
      <w:pPr>
        <w:spacing w:after="0" w:line="124" w:lineRule="exact"/>
        <w:rPr>
          <w:sz w:val="20"/>
          <w:szCs w:val="20"/>
          <w:color w:val="auto"/>
        </w:rPr>
      </w:pPr>
    </w:p>
    <w:p>
      <w:pPr>
        <w:ind w:left="300" w:right="40"/>
        <w:spacing w:after="0" w:line="229"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 in lead optimization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mTORC1-selective inhibitors from our proprietary series, including RMC-5552, have recently been shown to have combinatorial activity with KRAS</w:t>
      </w:r>
      <w:r>
        <w:rPr>
          <w:rFonts w:ascii="Arial" w:cs="Arial" w:eastAsia="Arial" w:hAnsi="Arial"/>
          <w:sz w:val="22"/>
          <w:szCs w:val="22"/>
          <w:color w:val="auto"/>
          <w:vertAlign w:val="superscript"/>
        </w:rPr>
        <w:t>G12C</w:t>
      </w:r>
      <w:r>
        <w:rPr>
          <w:rFonts w:ascii="Arial" w:cs="Arial" w:eastAsia="Arial" w:hAnsi="Arial"/>
          <w:sz w:val="18"/>
          <w:szCs w:val="18"/>
          <w:color w:val="auto"/>
        </w:rPr>
        <w:t xml:space="preserve"> inhibitors in preclinical models of KRAS</w:t>
      </w:r>
      <w:r>
        <w:rPr>
          <w:rFonts w:ascii="Arial" w:cs="Arial" w:eastAsia="Arial" w:hAnsi="Arial"/>
          <w:sz w:val="22"/>
          <w:szCs w:val="22"/>
          <w:color w:val="auto"/>
          <w:vertAlign w:val="superscript"/>
        </w:rPr>
        <w:t>G12C</w:t>
      </w:r>
      <w:r>
        <w:rPr>
          <w:rFonts w:ascii="Arial" w:cs="Arial" w:eastAsia="Arial" w:hAnsi="Arial"/>
          <w:sz w:val="18"/>
          <w:szCs w:val="18"/>
          <w:color w:val="auto"/>
        </w:rPr>
        <w:t xml:space="preserve"> lung and colon cancer, suggesting that RMC-5552 is a meaningful and rational addition to our portfolio of RAS pathway inhibitors. We advanced RMC-5552 into IND-enabling development in June 2019.</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team</w:t>
      </w:r>
    </w:p>
    <w:p>
      <w:pPr>
        <w:spacing w:after="0" w:line="134" w:lineRule="exact"/>
        <w:rPr>
          <w:sz w:val="20"/>
          <w:szCs w:val="20"/>
          <w:color w:val="auto"/>
        </w:rPr>
      </w:pPr>
    </w:p>
    <w:p>
      <w:pPr>
        <w:ind w:left="300"/>
        <w:spacing w:after="0" w:line="252" w:lineRule="auto"/>
        <w:rPr>
          <w:sz w:val="20"/>
          <w:szCs w:val="20"/>
          <w:color w:val="auto"/>
        </w:rPr>
      </w:pPr>
      <w:r>
        <w:rPr>
          <w:rFonts w:ascii="Arial" w:cs="Arial" w:eastAsia="Arial" w:hAnsi="Arial"/>
          <w:sz w:val="17"/>
          <w:szCs w:val="17"/>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21"/>
          <w:szCs w:val="21"/>
          <w:color w:val="auto"/>
          <w:vertAlign w:val="superscript"/>
        </w:rPr>
        <w:t>G12C</w:t>
      </w:r>
      <w:r>
        <w:rPr>
          <w:rFonts w:ascii="Arial" w:cs="Arial" w:eastAsia="Arial" w:hAnsi="Arial"/>
          <w:sz w:val="17"/>
          <w:szCs w:val="17"/>
          <w:color w:val="auto"/>
        </w:rPr>
        <w:t>(OFF) inhibitor.</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Our goal is to develop novel targeted therapies to outsmart cancer for the benefit of patients. We plan to pursue the following strategies:</w:t>
      </w:r>
    </w:p>
    <w:p>
      <w:pPr>
        <w:spacing w:after="0" w:line="122" w:lineRule="exact"/>
        <w:rPr>
          <w:sz w:val="20"/>
          <w:szCs w:val="20"/>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Deploy our innovation engine against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oncology targets;</w:t>
      </w:r>
    </w:p>
    <w:p>
      <w:pPr>
        <w:spacing w:after="0" w:line="135" w:lineRule="exact"/>
        <w:rPr>
          <w:rFonts w:ascii="Arial" w:cs="Arial" w:eastAsia="Arial" w:hAnsi="Arial"/>
          <w:sz w:val="18"/>
          <w:szCs w:val="18"/>
          <w:color w:val="auto"/>
        </w:rPr>
      </w:pPr>
    </w:p>
    <w:p>
      <w:pPr>
        <w:ind w:left="480" w:right="920" w:hanging="182"/>
        <w:spacing w:after="0" w:line="239"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our proprietary SHP2 inhibitor, RMC-4630, as the backbone of targeted therapy combinations for the treatment of RAS-dependent tumors;</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Pioneer mutant selective RAS(ON) inhibition across multiple genetically defined cancers;</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the global value of our programs by continuing to execute synergistic and value-creating transactions;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our culture of tireless commitment to patients.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44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Risks related to our business</w:t>
      </w:r>
    </w:p>
    <w:p>
      <w:pPr>
        <w:spacing w:after="0" w:line="134" w:lineRule="exact"/>
        <w:rPr>
          <w:sz w:val="20"/>
          <w:szCs w:val="20"/>
          <w:color w:val="auto"/>
        </w:rPr>
      </w:pPr>
    </w:p>
    <w:p>
      <w:pPr>
        <w:ind w:left="300" w:right="380"/>
        <w:spacing w:after="0" w:line="239" w:lineRule="auto"/>
        <w:rPr>
          <w:sz w:val="20"/>
          <w:szCs w:val="20"/>
          <w:color w:val="auto"/>
        </w:rPr>
      </w:pPr>
      <w:r>
        <w:rPr>
          <w:rFonts w:ascii="Arial" w:cs="Arial" w:eastAsia="Arial" w:hAnsi="Arial"/>
          <w:sz w:val="18"/>
          <w:szCs w:val="18"/>
          <w:color w:val="auto"/>
        </w:rPr>
        <w:t>Our ability to execute our business strategy is subject to numerous risks, including those described in the section titled “Risk factors” immediately following this prospectus summary. These risks include the following, among others:</w:t>
      </w:r>
    </w:p>
    <w:p>
      <w:pPr>
        <w:spacing w:after="0" w:line="114" w:lineRule="exact"/>
        <w:rPr>
          <w:sz w:val="20"/>
          <w:szCs w:val="20"/>
          <w:color w:val="auto"/>
        </w:rPr>
      </w:pPr>
    </w:p>
    <w:p>
      <w:pPr>
        <w:ind w:left="480" w:right="16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or other epidemic and pandemic diseases or the perception of their effects, could have a material adverse effect on our business, financial condition, results of operations or cash flows.</w:t>
      </w:r>
    </w:p>
    <w:p>
      <w:pPr>
        <w:spacing w:after="0" w:line="114" w:lineRule="exact"/>
        <w:rPr>
          <w:rFonts w:ascii="Arial" w:cs="Arial" w:eastAsia="Arial" w:hAnsi="Arial"/>
          <w:sz w:val="18"/>
          <w:szCs w:val="18"/>
          <w:color w:val="auto"/>
        </w:rPr>
      </w:pPr>
    </w:p>
    <w:p>
      <w:pPr>
        <w:ind w:left="480" w:right="280" w:hanging="182"/>
        <w:spacing w:after="0" w:line="28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82" w:lineRule="exact"/>
        <w:rPr>
          <w:rFonts w:ascii="Arial" w:cs="Arial" w:eastAsia="Arial" w:hAnsi="Arial"/>
          <w:sz w:val="16"/>
          <w:szCs w:val="16"/>
          <w:color w:val="auto"/>
        </w:rPr>
      </w:pPr>
    </w:p>
    <w:p>
      <w:pPr>
        <w:ind w:left="480" w:hanging="182"/>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480" w:hanging="182"/>
        <w:spacing w:after="0" w:line="238"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13" w:lineRule="exact"/>
        <w:rPr>
          <w:rFonts w:ascii="Arial" w:cs="Arial" w:eastAsia="Arial" w:hAnsi="Arial"/>
          <w:sz w:val="18"/>
          <w:szCs w:val="18"/>
          <w:color w:val="auto"/>
        </w:rPr>
      </w:pPr>
    </w:p>
    <w:p>
      <w:pPr>
        <w:ind w:left="480" w:right="100" w:hanging="182"/>
        <w:spacing w:after="0" w:line="23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13" w:lineRule="exact"/>
        <w:rPr>
          <w:rFonts w:ascii="Arial" w:cs="Arial" w:eastAsia="Arial" w:hAnsi="Arial"/>
          <w:sz w:val="18"/>
          <w:szCs w:val="18"/>
          <w:color w:val="auto"/>
        </w:rPr>
      </w:pPr>
    </w:p>
    <w:p>
      <w:pPr>
        <w:ind w:left="480" w:right="24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be adversely affected.</w:t>
      </w:r>
    </w:p>
    <w:p>
      <w:pPr>
        <w:spacing w:after="0" w:line="114" w:lineRule="exact"/>
        <w:rPr>
          <w:rFonts w:ascii="Arial" w:cs="Arial" w:eastAsia="Arial" w:hAnsi="Arial"/>
          <w:sz w:val="18"/>
          <w:szCs w:val="18"/>
          <w:color w:val="auto"/>
        </w:rPr>
      </w:pPr>
    </w:p>
    <w:p>
      <w:pPr>
        <w:ind w:left="480" w:right="60" w:hanging="182"/>
        <w:spacing w:after="0" w:line="238"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113" w:lineRule="exact"/>
        <w:rPr>
          <w:rFonts w:ascii="Arial" w:cs="Arial" w:eastAsia="Arial" w:hAnsi="Arial"/>
          <w:sz w:val="18"/>
          <w:szCs w:val="18"/>
          <w:color w:val="auto"/>
        </w:rPr>
      </w:pPr>
    </w:p>
    <w:p>
      <w:pPr>
        <w:ind w:left="480" w:right="220" w:hanging="182"/>
        <w:spacing w:after="0" w:line="221"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developing RMC-4630 in combination with Roche’s cobimetinib, Amgen’s investigational KRAS</w:t>
      </w:r>
      <w:r>
        <w:rPr>
          <w:rFonts w:ascii="Arial" w:cs="Arial" w:eastAsia="Arial" w:hAnsi="Arial"/>
          <w:sz w:val="22"/>
          <w:szCs w:val="22"/>
          <w:color w:val="auto"/>
          <w:vertAlign w:val="superscript"/>
        </w:rPr>
        <w:t>G12C</w:t>
      </w:r>
      <w:r>
        <w:rPr>
          <w:rFonts w:ascii="Arial" w:cs="Arial" w:eastAsia="Arial" w:hAnsi="Arial"/>
          <w:sz w:val="18"/>
          <w:szCs w:val="18"/>
          <w:color w:val="auto"/>
        </w:rPr>
        <w:t>(OFF) inhibitor, sotorasib and may, in the future, develop RMC-4630 and other product candidates in combination with other therapies, which exposes us to additional risks.</w:t>
      </w:r>
    </w:p>
    <w:p>
      <w:pPr>
        <w:spacing w:after="0" w:line="114" w:lineRule="exact"/>
        <w:rPr>
          <w:rFonts w:ascii="Arial" w:cs="Arial" w:eastAsia="Arial" w:hAnsi="Arial"/>
          <w:sz w:val="18"/>
          <w:szCs w:val="18"/>
          <w:color w:val="auto"/>
        </w:rPr>
      </w:pPr>
    </w:p>
    <w:p>
      <w:pPr>
        <w:ind w:left="480" w:right="240" w:hanging="182"/>
        <w:spacing w:after="0" w:line="23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14" w:lineRule="exact"/>
        <w:rPr>
          <w:rFonts w:ascii="Arial" w:cs="Arial" w:eastAsia="Arial" w:hAnsi="Arial"/>
          <w:sz w:val="18"/>
          <w:szCs w:val="18"/>
          <w:color w:val="auto"/>
        </w:rPr>
      </w:pPr>
    </w:p>
    <w:p>
      <w:pPr>
        <w:jc w:val="both"/>
        <w:ind w:left="480" w:right="20" w:hanging="182"/>
        <w:spacing w:after="0" w:line="28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00" w:right="740"/>
        <w:spacing w:after="0" w:line="239" w:lineRule="auto"/>
        <w:rPr>
          <w:sz w:val="20"/>
          <w:szCs w:val="20"/>
          <w:color w:val="auto"/>
        </w:rPr>
      </w:pPr>
      <w:r>
        <w:rPr>
          <w:rFonts w:ascii="Arial" w:cs="Arial" w:eastAsia="Arial" w:hAnsi="Arial"/>
          <w:sz w:val="18"/>
          <w:szCs w:val="18"/>
          <w:color w:val="auto"/>
        </w:rPr>
        <w:t>We were founded in October 2014 as a Delaware corporation. Our principal executive offices are located at 700 Saginaw Drive, Redwood City, California 94063, and our telephone number is (650) 481-6801.</w:t>
      </w:r>
    </w:p>
    <w:p>
      <w:pPr>
        <w:spacing w:after="0" w:line="1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35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323596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color w:val="auto"/>
        </w:rPr>
        <w:t>Our website address is www.revmed.com. The information on, or that can be accessed through, our website is not part of this prospectus and is not incorporated by reference herein. We have included our website address as an inactive textual reference only.</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300"/>
        <w:spacing w:after="0" w:line="26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 an emerging growth company until the earliest of: (1) December 31, 2025, (2) the last day of the fiscal year in which we have total annual gross revenue of at least $1.07 billion, (3)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(4) the date on which we have issued more than $1.0 billion in non-convertible debt securities during the prior three-year period. An emerging growth company may take advantage of specified reduced reporting requirements and is relieved of certain other significant requirements that are otherwise generally applicable to public companies. As an emerging growth company:</w:t>
      </w:r>
    </w:p>
    <w:p>
      <w:pPr>
        <w:spacing w:after="0" w:line="92" w:lineRule="exact"/>
        <w:rPr>
          <w:sz w:val="20"/>
          <w:szCs w:val="20"/>
          <w:color w:val="auto"/>
        </w:rPr>
      </w:pPr>
    </w:p>
    <w:p>
      <w:pPr>
        <w:ind w:left="480" w:hanging="182"/>
        <w:spacing w:after="0" w:line="299" w:lineRule="auto"/>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intend to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68" w:lineRule="exact"/>
        <w:rPr>
          <w:rFonts w:ascii="Arial" w:cs="Arial" w:eastAsia="Arial" w:hAnsi="Arial"/>
          <w:sz w:val="16"/>
          <w:szCs w:val="16"/>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intend to provide less extensive disclosure about our executive compensation arrangements;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do not intend to require stockholder non-binding advisory votes on executive compensation or golden parachute arrangements.</w:t>
      </w:r>
    </w:p>
    <w:p>
      <w:pPr>
        <w:spacing w:after="0" w:line="104" w:lineRule="exact"/>
        <w:rPr>
          <w:sz w:val="20"/>
          <w:szCs w:val="20"/>
          <w:color w:val="auto"/>
        </w:rPr>
      </w:pPr>
    </w:p>
    <w:p>
      <w:pPr>
        <w:ind w:left="300" w:right="60"/>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310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31050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00" w:right="320"/>
        <w:spacing w:after="0" w:line="327" w:lineRule="auto"/>
        <w:rPr>
          <w:sz w:val="20"/>
          <w:szCs w:val="20"/>
          <w:color w:val="auto"/>
        </w:rPr>
      </w:pPr>
      <w:r>
        <w:rPr>
          <w:rFonts w:ascii="Arial" w:cs="Arial" w:eastAsia="Arial" w:hAnsi="Arial"/>
          <w:sz w:val="16"/>
          <w:szCs w:val="16"/>
          <w:b w:val="1"/>
          <w:bCs w:val="1"/>
          <w:color w:val="auto"/>
        </w:rPr>
        <w:t>Underwriters’ option to purchase additional shares from us</w:t>
      </w:r>
    </w:p>
    <w:p>
      <w:pPr>
        <w:spacing w:after="0" w:line="39" w:lineRule="exact"/>
        <w:rPr>
          <w:sz w:val="20"/>
          <w:szCs w:val="20"/>
          <w:color w:val="auto"/>
        </w:rPr>
      </w:pPr>
    </w:p>
    <w:p>
      <w:pPr>
        <w:ind w:left="300" w:right="300"/>
        <w:spacing w:after="0" w:line="327"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5,500,000 shares</w:t>
      </w:r>
    </w:p>
    <w:p>
      <w:pPr>
        <w:spacing w:after="0" w:line="13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have granted the underwriters a 30-day option to purchase up to additional shares at the public offering price, less underwriting discounts and commissions.</w:t>
      </w:r>
    </w:p>
    <w:p>
      <w:pPr>
        <w:spacing w:after="0" w:line="12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64,503,644 shares (or 65,328,644 shares if the underwriters exercise in full their option to purchase additional shares)</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estimate that the net proceeds from this offering will be approximately $159.6 million, or approximately $183.7 million if the underwriters exercise their option to purchase additional shares in full, at the public offering price of $31.01 per share, the last reported sale price of our common stock on the Nasdaq Global Select Market on July 2, 2020, after deducting the underwriting discounts and commissions and estimated offering expenses payable by us.</w:t>
      </w:r>
    </w:p>
    <w:p>
      <w:pPr>
        <w:spacing w:after="0" w:line="11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currently expect to use the net proceeds from this offering, together with our existing cash, cash equivalents and marketable securities,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 See “Use of proceeds” on page 75 for a more complete description of the intended use of proceeds from this offering.</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See “Risk factors” beginning on page 11 and other information included or incorporated by reference in this prospectus for a discussion of factors that you should consider carefully before deciding to invest in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“RVMD”</w:t>
      </w:r>
    </w:p>
    <w:p>
      <w:pPr>
        <w:spacing w:after="0" w:line="117" w:lineRule="exact"/>
        <w:rPr>
          <w:sz w:val="20"/>
          <w:szCs w:val="20"/>
          <w:color w:val="auto"/>
        </w:rPr>
      </w:pPr>
    </w:p>
    <w:p>
      <w:pPr>
        <w:sectPr>
          <w:pgSz w:w="11900" w:h="16838" w:orient="portrait"/>
          <w:cols w:equalWidth="0" w:num="2">
            <w:col w:w="3380" w:space="520"/>
            <w:col w:w="7020"/>
          </w:cols>
          <w:pgMar w:left="320" w:top="459" w:right="659" w:bottom="1440" w:gutter="0" w:footer="0" w:header="0"/>
          <w:type w:val="continuous"/>
        </w:sectPr>
      </w:pPr>
    </w:p>
    <w:p>
      <w:pPr>
        <w:ind w:left="300"/>
        <w:spacing w:after="0" w:line="239" w:lineRule="auto"/>
        <w:rPr>
          <w:sz w:val="20"/>
          <w:szCs w:val="20"/>
          <w:color w:val="auto"/>
        </w:rPr>
      </w:pPr>
      <w:r>
        <w:rPr>
          <w:rFonts w:ascii="Arial" w:cs="Arial" w:eastAsia="Arial" w:hAnsi="Arial"/>
          <w:sz w:val="18"/>
          <w:szCs w:val="18"/>
          <w:color w:val="auto"/>
        </w:rPr>
        <w:t>The number of shares of common stock to be outstanding after this offering is based on 59,003,644 shares of common stock outstanding as of March 31, 2020, and excludes the following:</w:t>
      </w:r>
    </w:p>
    <w:p>
      <w:pPr>
        <w:spacing w:after="0" w:line="114" w:lineRule="exact"/>
        <w:rPr>
          <w:sz w:val="20"/>
          <w:szCs w:val="20"/>
          <w:color w:val="auto"/>
        </w:rPr>
      </w:pPr>
    </w:p>
    <w:p>
      <w:pPr>
        <w:ind w:left="480" w:right="140" w:hanging="182"/>
        <w:spacing w:after="0" w:line="23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5,568,324 shares of common stock issuable upon the exercise of outstanding stock options as of March 31, 2020 having a weighted-average exercise price of $5.29 per share;</w:t>
      </w:r>
    </w:p>
    <w:p>
      <w:pPr>
        <w:spacing w:after="0" w:line="114" w:lineRule="exact"/>
        <w:rPr>
          <w:rFonts w:ascii="Arial" w:cs="Arial" w:eastAsia="Arial" w:hAnsi="Arial"/>
          <w:sz w:val="18"/>
          <w:szCs w:val="18"/>
          <w:color w:val="auto"/>
        </w:rPr>
      </w:pPr>
    </w:p>
    <w:p>
      <w:pPr>
        <w:ind w:left="480" w:hanging="182"/>
        <w:spacing w:after="0" w:line="23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170,252 shares of common stock issuable upon the exercise of stock options granted after March 31, 2020 having an exercise price of $36.57 per share;</w:t>
      </w:r>
    </w:p>
    <w:p>
      <w:pPr>
        <w:spacing w:after="0" w:line="114" w:lineRule="exact"/>
        <w:rPr>
          <w:rFonts w:ascii="Arial" w:cs="Arial" w:eastAsia="Arial" w:hAnsi="Arial"/>
          <w:sz w:val="18"/>
          <w:szCs w:val="18"/>
          <w:color w:val="auto"/>
        </w:rPr>
      </w:pPr>
    </w:p>
    <w:p>
      <w:pPr>
        <w:ind w:left="480" w:hanging="18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48,660 shares of common stock issuable upon the vesting of restricted stock units granted after March 31, 2020;</w:t>
      </w:r>
    </w:p>
    <w:p>
      <w:pPr>
        <w:spacing w:after="0" w:line="117" w:lineRule="exact"/>
        <w:rPr>
          <w:rFonts w:ascii="Arial" w:cs="Arial" w:eastAsia="Arial" w:hAnsi="Arial"/>
          <w:sz w:val="18"/>
          <w:szCs w:val="18"/>
          <w:color w:val="auto"/>
        </w:rPr>
      </w:pPr>
    </w:p>
    <w:p>
      <w:pPr>
        <w:ind w:left="480" w:right="140" w:hanging="182"/>
        <w:spacing w:after="0" w:line="239"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5,110,075 shares of common stock reserved for issuance pursuant to future awards under our 2020 Incentive Award Plan, as well as any automatic increases in the number of shares of common stock reserved for future issuance under this plan; and</w:t>
      </w:r>
    </w:p>
    <w:p>
      <w:pPr>
        <w:spacing w:after="0" w:line="1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98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9988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80" w:hanging="182"/>
        <w:spacing w:after="0" w:line="239"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under our 2020 Employee Stock Purchase Plan, as well as any automatic increases in the number of shares of our common stock reserved for future issuance under this plan.</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480" w:hanging="18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stock options or settlement of restricted stock units subsequent to March 31, 2020; and</w:t>
      </w:r>
    </w:p>
    <w:p>
      <w:pPr>
        <w:spacing w:after="0" w:line="117" w:lineRule="exact"/>
        <w:rPr>
          <w:rFonts w:ascii="Arial" w:cs="Arial" w:eastAsia="Arial" w:hAnsi="Arial"/>
          <w:sz w:val="18"/>
          <w:szCs w:val="18"/>
          <w:color w:val="auto"/>
        </w:rPr>
      </w:pPr>
    </w:p>
    <w:p>
      <w:pPr>
        <w:ind w:left="480" w:hanging="18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320" w:top="459" w:right="10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39" w:lineRule="exact"/>
        <w:rPr>
          <w:sz w:val="20"/>
          <w:szCs w:val="20"/>
          <w:color w:val="auto"/>
        </w:rPr>
      </w:pPr>
    </w:p>
    <w:p>
      <w:pPr>
        <w:ind w:left="300"/>
        <w:spacing w:after="0" w:line="239" w:lineRule="auto"/>
        <w:rPr>
          <w:sz w:val="20"/>
          <w:szCs w:val="20"/>
          <w:color w:val="auto"/>
        </w:rPr>
      </w:pPr>
      <w:r>
        <w:rPr>
          <w:rFonts w:ascii="Arial" w:cs="Arial" w:eastAsia="Arial" w:hAnsi="Arial"/>
          <w:sz w:val="18"/>
          <w:szCs w:val="18"/>
          <w:i w:val="1"/>
          <w:iCs w:val="1"/>
          <w:color w:val="auto"/>
        </w:rPr>
        <w:t>The following tables present our summary consolidated financial data for the periods and as of the dates indicated. You should read this data together with our consolidated financial statements and related notes incorporated by reference in this prospectus and the information under the captions “Selected consolidated financial data” appearing in our Annual Report on Form 10-K for the fiscal year ended December 31, 2019, or our 2019 Annual Report, and “Management’s discussion and analysis of financial condition and results of operations” appearing in our 2019 Annual Report and in our Quarterly Report on Form 10-Q for the quarter ended March 31, 2020, or our March 2020 Quarterly Report, which are incorporated by reference herein.</w:t>
      </w:r>
    </w:p>
    <w:p>
      <w:pPr>
        <w:spacing w:after="0" w:line="104" w:lineRule="exact"/>
        <w:rPr>
          <w:sz w:val="20"/>
          <w:szCs w:val="20"/>
          <w:color w:val="auto"/>
        </w:rPr>
      </w:pPr>
    </w:p>
    <w:p>
      <w:pPr>
        <w:ind w:left="300" w:right="20"/>
        <w:spacing w:after="0" w:line="235" w:lineRule="auto"/>
        <w:rPr>
          <w:sz w:val="20"/>
          <w:szCs w:val="20"/>
          <w:color w:val="auto"/>
        </w:rPr>
      </w:pPr>
      <w:r>
        <w:rPr>
          <w:rFonts w:ascii="Arial" w:cs="Arial" w:eastAsia="Arial" w:hAnsi="Arial"/>
          <w:sz w:val="18"/>
          <w:szCs w:val="18"/>
          <w:color w:val="auto"/>
        </w:rPr>
        <w:t>We have derived the following consolidated statement of operations data for the years ended December 31, 2017, 2018 and 2019 from our audited consolidated financial statements and related notes incorporated by reference herein from our 2019 Annual Report. The summary consolidated statements of operations data for the three months ended March 31, 2019 and 2020 and the summary consolidated balance sheet data as of March 31, 2020 are derived from our unaudited interim consolidated financial statements incorporated by reference herein from our March 2020 Quarterly Report. The unaudited interim financial statements have been prepared in accordance with generally accepted accounting principles in the United States and on the same basis as the audited consolidated financial statements and, in the opinion of management, reflect all adjustments, which include only normal recurring adjustments, necessary to state fairly our financial position as of March 31, 2020 and the results of operations for the three months ended March 31, 2019 and 2020. Our historical results are not necessarily indicative of our future results and results for the three months ended March 31, 2020 are not necessarily indicative of results to be expected for the full year or any other period.</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6"/>
          </w:tcPr>
          <w:p>
            <w:pPr>
              <w:jc w:val="right"/>
              <w:ind w:right="34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10"/>
          </w:tcPr>
          <w:p>
            <w:pPr>
              <w:jc w:val="right"/>
              <w:ind w:right="800"/>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700"/>
              <w:spacing w:after="0"/>
              <w:rPr>
                <w:sz w:val="20"/>
                <w:szCs w:val="20"/>
                <w:color w:val="auto"/>
              </w:rPr>
            </w:pPr>
            <w:r>
              <w:rPr>
                <w:rFonts w:ascii="Arial" w:cs="Arial" w:eastAsia="Arial" w:hAnsi="Arial"/>
                <w:sz w:val="13"/>
                <w:szCs w:val="13"/>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2019</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12"/>
          </w:tcPr>
          <w:p>
            <w:pPr>
              <w:jc w:val="right"/>
              <w:ind w:right="120"/>
              <w:spacing w:after="0" w:line="142" w:lineRule="exact"/>
              <w:rPr>
                <w:sz w:val="20"/>
                <w:szCs w:val="20"/>
                <w:color w:val="auto"/>
              </w:rPr>
            </w:pPr>
            <w:r>
              <w:rPr>
                <w:rFonts w:ascii="Arial" w:cs="Arial" w:eastAsia="Arial" w:hAnsi="Arial"/>
                <w:sz w:val="13"/>
                <w:szCs w:val="13"/>
                <w:b w:val="1"/>
                <w:bCs w:val="1"/>
                <w:color w:val="auto"/>
              </w:rPr>
              <w:t>(in thousands, except share and per share data)</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Consolidated Statement of Operations Data:</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3"/>
                <w:szCs w:val="13"/>
                <w:color w:val="auto"/>
              </w:rPr>
              <w:t>Revenue: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Collaboration revenue, related party</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19,420</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50,041</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13,166</w:t>
            </w:r>
          </w:p>
        </w:tc>
        <w:tc>
          <w:tcPr>
            <w:tcW w:w="2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Collaboration revenue, other</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revenue</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20,165</w:t>
            </w: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50,041</w:t>
            </w: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13,166</w:t>
            </w:r>
          </w:p>
        </w:tc>
        <w:tc>
          <w:tcPr>
            <w:tcW w:w="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Research and development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26,586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51,084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General and administrative</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4,543</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9,410</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12,406</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2,416</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operating expenses</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31,129</w:t>
            </w:r>
          </w:p>
        </w:tc>
        <w:tc>
          <w:tcPr>
            <w:tcW w:w="1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60,494</w:t>
            </w:r>
          </w:p>
        </w:tc>
        <w:tc>
          <w:tcPr>
            <w:tcW w:w="2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104,161</w:t>
            </w:r>
          </w:p>
        </w:tc>
        <w:tc>
          <w:tcPr>
            <w:tcW w:w="2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23,602</w:t>
            </w: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220" w:type="dxa"/>
            <w:vAlign w:val="bottom"/>
            <w:gridSpan w:val="2"/>
          </w:tcPr>
          <w:p>
            <w:pPr>
              <w:spacing w:after="0"/>
              <w:rPr>
                <w:sz w:val="20"/>
                <w:szCs w:val="20"/>
                <w:color w:val="auto"/>
              </w:rPr>
            </w:pPr>
            <w:r>
              <w:rPr>
                <w:rFonts w:ascii="Arial" w:cs="Arial" w:eastAsia="Arial" w:hAnsi="Arial"/>
                <w:sz w:val="13"/>
                <w:szCs w:val="13"/>
                <w:color w:val="auto"/>
              </w:rPr>
              <w:t>Loss from operations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(31,129)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(40,329)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(54,120)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(10,436)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(21,082)</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Interest income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2,189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and other expense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200" w:type="dxa"/>
            <w:vAlign w:val="bottom"/>
          </w:tcPr>
          <w:p>
            <w:pPr>
              <w:ind w:left="200"/>
              <w:spacing w:after="0"/>
              <w:rPr>
                <w:sz w:val="20"/>
                <w:szCs w:val="20"/>
                <w:color w:val="auto"/>
              </w:rPr>
            </w:pPr>
            <w:r>
              <w:rPr>
                <w:rFonts w:ascii="Arial" w:cs="Arial" w:eastAsia="Arial" w:hAnsi="Arial"/>
                <w:sz w:val="13"/>
                <w:szCs w:val="13"/>
                <w:color w:val="auto"/>
              </w:rPr>
              <w:t>Change in fair value of redeemable convertible preferred stock liability</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(2,121)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other income (expense), net</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(1,460)</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2,083</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20" w:type="dxa"/>
            <w:vAlign w:val="bottom"/>
            <w:gridSpan w:val="2"/>
          </w:tcPr>
          <w:p>
            <w:pPr>
              <w:spacing w:after="0"/>
              <w:rPr>
                <w:sz w:val="20"/>
                <w:szCs w:val="20"/>
                <w:color w:val="auto"/>
              </w:rPr>
            </w:pPr>
            <w:r>
              <w:rPr>
                <w:rFonts w:ascii="Arial" w:cs="Arial" w:eastAsia="Arial" w:hAnsi="Arial"/>
                <w:sz w:val="13"/>
                <w:szCs w:val="13"/>
                <w:color w:val="auto"/>
              </w:rPr>
              <w:t>Loss before income taxes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(31,127)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(41,789)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(52,037)</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(10,131)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(20,194)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Benefit from income taxes</w:t>
            </w: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4,373</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gridSpan w:val="2"/>
          </w:tcPr>
          <w:p>
            <w:pPr>
              <w:spacing w:after="0"/>
              <w:rPr>
                <w:sz w:val="20"/>
                <w:szCs w:val="20"/>
                <w:color w:val="auto"/>
              </w:rPr>
            </w:pPr>
            <w:r>
              <w:rPr>
                <w:rFonts w:ascii="Arial" w:cs="Arial" w:eastAsia="Arial" w:hAnsi="Arial"/>
                <w:sz w:val="13"/>
                <w:szCs w:val="13"/>
                <w:color w:val="auto"/>
              </w:rPr>
              <w:t>Net loss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(31,127)</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(41,789)</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(47,664)</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(10,131)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(19,519)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Redeemable convertible preferred stock dividends—undeclared and cumulative</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(14,238)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(2,219)</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20" w:type="dxa"/>
            <w:vAlign w:val="bottom"/>
            <w:gridSpan w:val="2"/>
          </w:tcPr>
          <w:p>
            <w:pPr>
              <w:spacing w:after="0"/>
              <w:rPr>
                <w:sz w:val="20"/>
                <w:szCs w:val="20"/>
                <w:color w:val="auto"/>
              </w:rPr>
            </w:pPr>
            <w:r>
              <w:rPr>
                <w:rFonts w:ascii="Arial" w:cs="Arial" w:eastAsia="Arial" w:hAnsi="Arial"/>
                <w:sz w:val="13"/>
                <w:szCs w:val="13"/>
                <w:color w:val="auto"/>
              </w:rPr>
              <w:t>Net loss attributable to common stockholders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(34,890)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(48,820)</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(61,902)</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(12,807)</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(21,738)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attributable to common stockholders—basic and diluted(1)</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(20.25)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(4.84)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(0.74)</w:t>
            </w:r>
          </w:p>
        </w:tc>
        <w:tc>
          <w:tcPr>
            <w:tcW w:w="0" w:type="dxa"/>
            <w:vAlign w:val="bottom"/>
          </w:tcPr>
          <w:p>
            <w:pPr>
              <w:spacing w:after="0"/>
              <w:rPr>
                <w:sz w:val="1"/>
                <w:szCs w:val="1"/>
                <w:color w:val="auto"/>
              </w:rPr>
            </w:pPr>
          </w:p>
        </w:tc>
      </w:tr>
      <w:tr>
        <w:trPr>
          <w:trHeight w:val="155"/>
        </w:trPr>
        <w:tc>
          <w:tcPr>
            <w:tcW w:w="5220" w:type="dxa"/>
            <w:vAlign w:val="bottom"/>
            <w:gridSpan w:val="2"/>
          </w:tcPr>
          <w:p>
            <w:pPr>
              <w:spacing w:after="0"/>
              <w:rPr>
                <w:sz w:val="20"/>
                <w:szCs w:val="20"/>
                <w:color w:val="auto"/>
              </w:rPr>
            </w:pPr>
            <w:r>
              <w:rPr>
                <w:rFonts w:ascii="Arial" w:cs="Arial" w:eastAsia="Arial" w:hAnsi="Arial"/>
                <w:sz w:val="13"/>
                <w:szCs w:val="13"/>
                <w:color w:val="auto"/>
              </w:rPr>
              <w:t>Weighted-average shares used to compute net loss per share attributable to common</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stockholders—basic and diluted(1)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1,723,827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2,298,820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2,772,589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2,643,649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29,297,698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0" w:right="80" w:hanging="302"/>
        <w:spacing w:after="0" w:line="248" w:lineRule="auto"/>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For the calculation of our basic and diluted net loss per share attributable to common stockholders and weighted-average number of shares used in the computation of the per share amounts, see Note 14 to our consolidated financial statements included in our 2019 Annual Report incorporated by reference herein and Note 12 to our unaudited interim condensed consolidated financial statements included in our March 2020 Quarterly Report incorporated by reference in this prospectus.</w:t>
      </w:r>
    </w:p>
    <w:p>
      <w:pPr>
        <w:spacing w:after="0" w:line="14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44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354457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3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7"/>
              </w:rPr>
              <w:t>As of March 31, 2020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Actual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As adjusted(1)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8"/>
              </w:rPr>
              <w:t>(in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7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$347,948</w:t>
            </w:r>
          </w:p>
        </w:tc>
        <w:tc>
          <w:tcPr>
            <w:tcW w:w="72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507,570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capital(2)</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320,572</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480,194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454,341</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613,963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69,025</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176,905</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176,905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385,316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544,938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0" w:right="20" w:hanging="302"/>
        <w:spacing w:after="0"/>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Each $1.00 increase (decrease) in the assumed public offering price of $31.01 per share, the last reported sale price of our common stock on the Nasdaq Global Select Market on July 2, 2020, would increase (decrease) the amount of each of cash, cash equivalents and marketable securities, working capital, total assets and total stockholders’ equity by $5.2 million, assuming the number of shares offered by us, as set forth on the cover page of this prospectus, remains the same and after deducting the underwriting discount and commissions and estimated offering expenses payable by us. We may also increase (decrease) the number of shares we are offering. Each increase (decrease) of 1,000,000 in the number of shares we are offering would increase (decrease) the amount of each of cash, cash equivalents and marketable securities, working capital, total assets and total stockholders’ equity by approximately $29.1 million, assuming the assumed public offering price of $31.01 per share, the last reported sale price of our common stock on the Nasdaq Global Select Market on July 2, 2020, remains the same and after deducting the underwriting discount and commissions and estimated offering expenses payable by us. The as adjusted information is illustrative only and we will adjust this information based on the actual public offering price and other terms of this offering determined at pricing.</w:t>
      </w:r>
    </w:p>
    <w:p>
      <w:pPr>
        <w:spacing w:after="0" w:line="208" w:lineRule="exact"/>
        <w:rPr>
          <w:rFonts w:ascii="Arial" w:cs="Arial" w:eastAsia="Arial" w:hAnsi="Arial"/>
          <w:sz w:val="13"/>
          <w:szCs w:val="13"/>
          <w:color w:val="auto"/>
        </w:rPr>
      </w:pPr>
    </w:p>
    <w:p>
      <w:pPr>
        <w:ind w:left="600" w:right="160" w:hanging="302"/>
        <w:spacing w:after="0" w:line="258"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 See our unaudited interim consolidated financial statements incorporated by reference in this prospectus for details regarding our current assets and current liabilities.</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preceding table presents our consolidated balance sheet data as of March 31, 2020:</w:t>
      </w:r>
    </w:p>
    <w:p>
      <w:pPr>
        <w:spacing w:after="0" w:line="117" w:lineRule="exact"/>
        <w:rPr>
          <w:sz w:val="20"/>
          <w:szCs w:val="20"/>
          <w:color w:val="auto"/>
        </w:rPr>
      </w:pPr>
    </w:p>
    <w:p>
      <w:pPr>
        <w:ind w:left="480" w:hanging="18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480" w:right="100" w:hanging="182"/>
        <w:spacing w:after="0" w:line="238"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5,500,000 shares of common stock in this offering at the assumed public offering price of $31.01 per share, the last reported sale price of our common stock on the Nasdaq Global Select Market on July 2, 2020, after deducting the underwriting discounts and commissions and estimated offering expenses payable by us.</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or incorporated by reference herein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Many of the following risks and uncertainties and those contained in the documents incorporated by reference herein are, and will be, exacerbated by the COVID-19 pandemic and any worsening of the global business and economic environment as a result. Additional risks and uncertainties not presently known to us or that we currently deem immaterial may also impair our business, financial condition, results of operations and growth prospects.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the COVID-19 pandemic</w:t>
      </w:r>
    </w:p>
    <w:p>
      <w:pPr>
        <w:spacing w:after="0" w:line="114" w:lineRule="exact"/>
        <w:rPr>
          <w:sz w:val="20"/>
          <w:szCs w:val="20"/>
          <w:color w:val="auto"/>
        </w:rPr>
      </w:pPr>
    </w:p>
    <w:p>
      <w:pPr>
        <w:ind w:left="120" w:right="40"/>
        <w:spacing w:after="0" w:line="262" w:lineRule="auto"/>
        <w:rPr>
          <w:sz w:val="20"/>
          <w:szCs w:val="20"/>
          <w:color w:val="auto"/>
        </w:rPr>
      </w:pPr>
      <w:r>
        <w:rPr>
          <w:rFonts w:ascii="Arial" w:cs="Arial" w:eastAsia="Arial" w:hAnsi="Arial"/>
          <w:sz w:val="18"/>
          <w:szCs w:val="18"/>
          <w:b w:val="1"/>
          <w:bCs w:val="1"/>
          <w:i w:val="1"/>
          <w:iCs w:val="1"/>
          <w:color w:val="auto"/>
        </w:rPr>
        <w:t>The COVID-19 pandemic, or other epidemic and pandemic diseases or the perception of their effects, could have a material adverse effect on our business, financial condition, results of operations or cash flows.</w:t>
      </w:r>
    </w:p>
    <w:p>
      <w:pPr>
        <w:spacing w:after="0" w:line="81"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Outbreaks of epidemic, pandemic or contagious diseases, such as the recent SARS-CoV-2 virus, or coronavirus, which causes coronavirus disease 2019, or COVID-19, or, historically, the Ebola virus, Middle East Respiratory Syndrome, Severe Acute Respiratory Syndrome or the H1N1 virus, could significantly disrupt our business. Such outbreaks pose the risk that we or our employees, contractors, suppliers, and other partners may be prevented from conducting business activities for an indefinite period of time due to spread of the disease within these groups, or due to shutdowns that may be requested or mandated by federal, state and local governmental authorities. Business disruptions could include disruptions or restrictions on our ability to travel, as well as temporary closures of our facilities and the facilities of our partners, clinical trial sites, service providers, suppliers or contract manufacturers. While it is not possible at this time to estimate the overall impact that COVID-19 will have on our business, the continued rapid spread of COVID-19, both across the United States and through much of the world, and the measures taken by the governments of countries and local authorities affected could disrupt and delay our ongoing clinical trials, our preclinical activities, the manufacture or shipment of both drug substance and finished drug product for our product candidates for preclinical testing and clinical trials and adversely impact our business, financial condition or results of operations.</w:t>
      </w:r>
    </w:p>
    <w:p>
      <w:pPr>
        <w:spacing w:after="0" w:line="28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result of the COVID-19 pandemic, the state of California, where our corporate offices are located, has issued orders for all residents to remain at home, except as needed for essential activities, and we have had to implement work from home policies that may continue for an indefinite period. We have taken steps to ensure the safety of our patients and employees, while working to ensure the sustainability of our business operations as this unprecedented situation continues to evolve. We continue to evaluate the impact of COVID-19 on the healthcare system and work with healthcare providers supporting our clinical studies to mitigate risk to patients while taking into account regulatory, institutional, and government guidance and policies. 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preclinical tests and clinical trials are located in countries affected by COVID-19, and should they experience continued disruptions, such as temporary closures or suspension of services, we would likely</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experience delays in advancing clinical trials. Currently, we expect no material impact on the clinical supply of RMC-4630. 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on a timely basis or at all.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102"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In addition, a significant outbreak of epidemic, pandemic or contagious diseases in the human population, such as the global COVID-19 pandemic, could result in a widespread health crisis and adversely affect the economies and financial markets of many countries, resulting in an economic downturn that could affect demand for our current or future products. Any of these events could have a material adverse effect on our business, financial condition, results of operations or cash flows.</w:t>
      </w:r>
    </w:p>
    <w:p>
      <w:pPr>
        <w:spacing w:after="0" w:line="100"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In addition, while the potential economic impact brought by, and the duration of, COVID-19 may be difficult to assess or predict, a continuing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the value of our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additional capital</w:t>
      </w:r>
    </w:p>
    <w:p>
      <w:pPr>
        <w:spacing w:after="0" w:line="11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9"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76"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Since inception, we have incurred significant net losses. Our net losses were $47.7 million, $41.8 million, and $31.1 million for the years ended December 31, 2019, 2018 and 2017, respectively. Our net loss was $19.5 million for the three months ended March 31, 2020. As of March 31, 2020, we had an accumulated deficit of $176.9 million. We have funded our operations to date primarily with proceeds from the sale of common stock and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apply for or receive regulatory approvals and, if approved, begin generating revenue from product sales. We expect to continue to incur significant expenses and operating losses for the foreseeable future.</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114" w:lineRule="exact"/>
        <w:rPr>
          <w:sz w:val="20"/>
          <w:szCs w:val="20"/>
          <w:color w:val="auto"/>
        </w:rPr>
      </w:pPr>
    </w:p>
    <w:p>
      <w:pPr>
        <w:ind w:left="340" w:right="86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completing clinical and preclinical development of product candidates and programs and identifying and developing new product candidates;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7"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7" w:lineRule="exact"/>
        <w:rPr>
          <w:rFonts w:ascii="Arial" w:cs="Arial" w:eastAsia="Arial" w:hAnsi="Arial"/>
          <w:sz w:val="18"/>
          <w:szCs w:val="18"/>
          <w:color w:val="auto"/>
        </w:rPr>
      </w:pPr>
    </w:p>
    <w:p>
      <w:pPr>
        <w:ind w:left="340" w:right="60" w:hanging="224"/>
        <w:spacing w:after="0" w:line="299"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8" w:lineRule="exact"/>
        <w:rPr>
          <w:rFonts w:ascii="Arial" w:cs="Arial" w:eastAsia="Arial" w:hAnsi="Arial"/>
          <w:sz w:val="16"/>
          <w:szCs w:val="16"/>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3"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9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Our operations have consumed substantial amounts of cash since inception. Since our inception, we have invested a significant portion of our efforts and financial resources in research and development activities for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initial preclinical and clinical product candidates. Preclinical studies and clinical trials and additional research and development activities will require substantial funds to complete. As of March 31, 2020, we had cash, cash equivalents and marketable securities of $347.9 million. In February 2020, we raised $250.7 million upon the completion of our initial public offering, or IPO, net of underwriting discounts and commissions and offering expenses.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timing and amount of our future capital requirements depend on many factors, including:</w:t>
      </w:r>
    </w:p>
    <w:p>
      <w:pPr>
        <w:spacing w:after="0" w:line="117" w:lineRule="exact"/>
        <w:rPr>
          <w:sz w:val="20"/>
          <w:szCs w:val="20"/>
          <w:color w:val="auto"/>
        </w:rPr>
      </w:pPr>
    </w:p>
    <w:p>
      <w:pPr>
        <w:ind w:left="340" w:right="1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340" w:right="7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11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340" w:right="88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We believe that the net proceeds from this offering, together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with our existing cash, cash equivalents and marketable securities, will enable us to fund our operations for at least 12 months following the date of this offering.</w:t>
      </w:r>
    </w:p>
    <w:p>
      <w:pPr>
        <w:spacing w:after="0" w:line="101"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113" w:lineRule="exact"/>
        <w:rPr>
          <w:sz w:val="20"/>
          <w:szCs w:val="20"/>
          <w:color w:val="auto"/>
        </w:rPr>
      </w:pPr>
    </w:p>
    <w:p>
      <w:pPr>
        <w:ind w:left="340" w:right="200" w:hanging="224"/>
        <w:spacing w:after="0" w:line="239"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114" w:lineRule="exact"/>
        <w:rPr>
          <w:rFonts w:ascii="Arial" w:cs="Arial" w:eastAsia="Arial" w:hAnsi="Arial"/>
          <w:sz w:val="18"/>
          <w:szCs w:val="18"/>
          <w:color w:val="auto"/>
        </w:rPr>
      </w:pPr>
    </w:p>
    <w:p>
      <w:pPr>
        <w:ind w:left="340" w:right="180" w:hanging="224"/>
        <w:spacing w:after="0" w:line="23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80" w:lineRule="exact"/>
        <w:rPr>
          <w:sz w:val="20"/>
          <w:szCs w:val="20"/>
          <w:color w:val="auto"/>
        </w:rPr>
      </w:pPr>
    </w:p>
    <w:p>
      <w:pPr>
        <w:ind w:left="120" w:right="28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w:t>
      </w:r>
    </w:p>
    <w:p>
      <w:pPr>
        <w:spacing w:after="0" w:line="81"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To date, we have primarily financed our operations through the sale of preferred stock and common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spacing w:after="0" w:line="266" w:lineRule="exact"/>
        <w:rPr>
          <w:sz w:val="20"/>
          <w:szCs w:val="20"/>
          <w:color w:val="auto"/>
        </w:rPr>
      </w:pPr>
    </w:p>
    <w:p>
      <w:pPr>
        <w:ind w:left="120" w:right="120"/>
        <w:spacing w:after="0" w:line="262"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81" w:lineRule="exact"/>
        <w:rPr>
          <w:sz w:val="20"/>
          <w:szCs w:val="20"/>
          <w:color w:val="auto"/>
        </w:rPr>
      </w:pPr>
    </w:p>
    <w:p>
      <w:pPr>
        <w:ind w:left="120" w:right="400"/>
        <w:spacing w:after="0" w:line="299" w:lineRule="auto"/>
        <w:rPr>
          <w:sz w:val="20"/>
          <w:szCs w:val="20"/>
          <w:color w:val="auto"/>
        </w:rPr>
      </w:pPr>
      <w:r>
        <w:rPr>
          <w:rFonts w:ascii="Arial" w:cs="Arial" w:eastAsia="Arial" w:hAnsi="Arial"/>
          <w:sz w:val="16"/>
          <w:szCs w:val="16"/>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68" w:lineRule="exact"/>
        <w:rPr>
          <w:sz w:val="20"/>
          <w:szCs w:val="20"/>
          <w:color w:val="auto"/>
        </w:rPr>
      </w:pPr>
    </w:p>
    <w:p>
      <w:pPr>
        <w:ind w:left="340" w:right="10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14"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70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w:t>
      </w:r>
    </w:p>
    <w:p>
      <w:pPr>
        <w:spacing w:after="0" w:line="114" w:lineRule="exact"/>
        <w:rPr>
          <w:rFonts w:ascii="Arial" w:cs="Arial" w:eastAsia="Arial" w:hAnsi="Arial"/>
          <w:sz w:val="18"/>
          <w:szCs w:val="18"/>
          <w:color w:val="auto"/>
        </w:rPr>
      </w:pPr>
    </w:p>
    <w:p>
      <w:pPr>
        <w:ind w:left="340" w:right="54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340" w:right="40" w:hanging="224"/>
        <w:spacing w:after="0" w:line="299"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5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product development and regulatory process</w:t>
      </w:r>
    </w:p>
    <w:p>
      <w:pPr>
        <w:spacing w:after="0" w:line="114"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96"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100"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06" w:lineRule="exact"/>
        <w:rPr>
          <w:sz w:val="20"/>
          <w:szCs w:val="20"/>
          <w:color w:val="auto"/>
        </w:rPr>
      </w:pPr>
    </w:p>
    <w:p>
      <w:pPr>
        <w:ind w:left="120" w:right="120"/>
        <w:spacing w:after="0" w:line="272"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7" w:lineRule="exact"/>
        <w:rPr>
          <w:sz w:val="20"/>
          <w:szCs w:val="20"/>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117" w:lineRule="exact"/>
        <w:rPr>
          <w:rFonts w:ascii="Arial" w:cs="Arial" w:eastAsia="Arial" w:hAnsi="Arial"/>
          <w:sz w:val="18"/>
          <w:szCs w:val="18"/>
          <w:color w:val="auto"/>
        </w:rPr>
      </w:pPr>
    </w:p>
    <w:p>
      <w:pPr>
        <w:ind w:left="340" w:right="6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 with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114" w:lineRule="exact"/>
        <w:rPr>
          <w:rFonts w:ascii="Arial" w:cs="Arial" w:eastAsia="Arial" w:hAnsi="Arial"/>
          <w:sz w:val="18"/>
          <w:szCs w:val="18"/>
          <w:color w:val="auto"/>
        </w:rPr>
      </w:pPr>
    </w:p>
    <w:p>
      <w:pPr>
        <w:ind w:left="340" w:right="74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populations;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one of our product candidates is approved;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the product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0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80"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94"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97" w:lineRule="exact"/>
        <w:rPr>
          <w:sz w:val="20"/>
          <w:szCs w:val="20"/>
          <w:color w:val="auto"/>
        </w:rPr>
      </w:pPr>
    </w:p>
    <w:p>
      <w:pPr>
        <w:ind w:left="340" w:hanging="224"/>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5" w:lineRule="exact"/>
        <w:rPr>
          <w:rFonts w:ascii="Arial" w:cs="Arial" w:eastAsia="Arial" w:hAnsi="Arial"/>
          <w:sz w:val="18"/>
          <w:szCs w:val="18"/>
          <w:color w:val="auto"/>
        </w:rPr>
      </w:pPr>
    </w:p>
    <w:p>
      <w:pPr>
        <w:ind w:left="340" w:hanging="224"/>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40" w:lineRule="exact"/>
        <w:rPr>
          <w:rFonts w:ascii="Arial" w:cs="Arial" w:eastAsia="Arial" w:hAnsi="Arial"/>
          <w:sz w:val="16"/>
          <w:szCs w:val="16"/>
          <w:color w:val="auto"/>
        </w:rPr>
      </w:pPr>
    </w:p>
    <w:p>
      <w:pPr>
        <w:ind w:left="340" w:right="100" w:hanging="224"/>
        <w:spacing w:after="0" w:line="239"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 and</w:t>
      </w:r>
    </w:p>
    <w:p>
      <w:pPr>
        <w:spacing w:after="0" w:line="114" w:lineRule="exact"/>
        <w:rPr>
          <w:rFonts w:ascii="Arial" w:cs="Arial" w:eastAsia="Arial" w:hAnsi="Arial"/>
          <w:sz w:val="18"/>
          <w:szCs w:val="18"/>
          <w:color w:val="auto"/>
        </w:rPr>
      </w:pPr>
    </w:p>
    <w:p>
      <w:pPr>
        <w:ind w:left="340" w:right="100" w:hanging="224"/>
        <w:spacing w:after="0" w:line="23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due to the COVID-19 pandemic, including the implementation of a temporary work from home policy following the California state order for all residents to remain at home, except as needed for essential activities, or reduced workforce resulting from illness, or delays at our third-party contract research organizations throughout the world, due to similar restrictions imposed by governments or reduced workforce resulting from illness.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80"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9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enlist various technologies and capabilities that give us chemical access to challenging sites on target proteins that generally are not accessible using conventional small molecule drug discovery approaches. For 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more than 500 daltons) “Beyond Rule of 5”, or BRo5, compounds that by definition do not satisfy these criteria. For example, our mTORC1 program and our RAS(ON) program each include pursuit of BRo5 compounds.</w:t>
      </w:r>
    </w:p>
    <w:p>
      <w:pPr>
        <w:spacing w:after="0" w:line="106" w:lineRule="exact"/>
        <w:rPr>
          <w:sz w:val="20"/>
          <w:szCs w:val="20"/>
          <w:color w:val="auto"/>
        </w:rPr>
      </w:pPr>
    </w:p>
    <w:p>
      <w:pPr>
        <w:ind w:left="120" w:right="240"/>
        <w:spacing w:after="0" w:line="272" w:lineRule="auto"/>
        <w:rPr>
          <w:sz w:val="20"/>
          <w:szCs w:val="20"/>
          <w:color w:val="auto"/>
        </w:rPr>
      </w:pPr>
      <w:r>
        <w:rPr>
          <w:rFonts w:ascii="Arial" w:cs="Arial" w:eastAsia="Arial" w:hAnsi="Arial"/>
          <w:sz w:val="16"/>
          <w:szCs w:val="16"/>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small molecule drugs rather than larger molecules, contributing to the difficulty and uncertainty of development of BRo5 compounds.</w:t>
      </w:r>
    </w:p>
    <w:p>
      <w:pPr>
        <w:spacing w:after="0" w:line="7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114" w:lineRule="exact"/>
        <w:rPr>
          <w:sz w:val="20"/>
          <w:szCs w:val="20"/>
          <w:color w:val="auto"/>
        </w:rPr>
      </w:pPr>
    </w:p>
    <w:p>
      <w:pPr>
        <w:ind w:left="340" w:right="160" w:hanging="224"/>
        <w:spacing w:after="0" w:line="23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difficult synthetic chemistry and manufacturing challenges, including with any scale-up of our product candidates in sufficient quality and quantity;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solubility challenges in the development of any such small molecules;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oral absorption challenges due to low passive permeability;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BRo5 small molecules may present cell permeability challenges, especially with regards to lipophilicity, hydrogen bond donor and rotatable bond count, and high topological polar surface area;</w:t>
      </w:r>
    </w:p>
    <w:p>
      <w:pPr>
        <w:spacing w:after="0" w:line="114"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BRo5 small molecules we seek to develop may not achieve acceptable oral bioavailability for development and may result in poor pharmaceutical properties for formulation development;</w:t>
      </w:r>
    </w:p>
    <w:p>
      <w:pPr>
        <w:spacing w:after="0" w:line="114" w:lineRule="exact"/>
        <w:rPr>
          <w:rFonts w:ascii="Arial" w:cs="Arial" w:eastAsia="Arial" w:hAnsi="Arial"/>
          <w:sz w:val="18"/>
          <w:szCs w:val="18"/>
          <w:color w:val="auto"/>
        </w:rPr>
      </w:pPr>
    </w:p>
    <w:p>
      <w:pPr>
        <w:ind w:left="340" w:right="60" w:hanging="224"/>
        <w:spacing w:after="0" w:line="23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BRo5 small molecules we seek to develop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our product candidate from the cell. As the site of action of our product candidates, for example the RAS protein, is inside the cell, expulsion by these transporter proteins may decrease the effective concentration in the cell sufficiently to reduce target inhibition and thereby render a RAS-dependent tumor less susceptible to the inhibitory activity of the product candidate;</w:t>
      </w:r>
    </w:p>
    <w:p>
      <w:pPr>
        <w:spacing w:after="0" w:line="115" w:lineRule="exact"/>
        <w:rPr>
          <w:rFonts w:ascii="Arial" w:cs="Arial" w:eastAsia="Arial" w:hAnsi="Arial"/>
          <w:sz w:val="18"/>
          <w:szCs w:val="18"/>
          <w:color w:val="auto"/>
        </w:rPr>
      </w:pPr>
    </w:p>
    <w:p>
      <w:pPr>
        <w:jc w:val="both"/>
        <w:ind w:left="340" w:right="620" w:hanging="224"/>
        <w:spacing w:after="0" w:line="299"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BRo5 small molecules may present central nervous system, or CNS, penetration challenges due to low passive permeability and/or interaction with efflux transporters at the blood brain barrier and this could limit sensitivity of CNS tumors to our product candidates;</w:t>
      </w:r>
    </w:p>
    <w:p>
      <w:pPr>
        <w:spacing w:after="0" w:line="68" w:lineRule="exact"/>
        <w:rPr>
          <w:rFonts w:ascii="Arial" w:cs="Arial" w:eastAsia="Arial" w:hAnsi="Arial"/>
          <w:sz w:val="16"/>
          <w:szCs w:val="16"/>
          <w:color w:val="auto"/>
        </w:rPr>
      </w:pPr>
    </w:p>
    <w:p>
      <w:pPr>
        <w:ind w:left="340" w:right="110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BRo5 small molecules may present formulation vehicle challenges for administration, such as intravenous and subcutaneous administration, due to aspects such as solubility and hydrophobicity;</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BRo5 small molecules may present stability and shelf-life limitations due to the incorporation of labile functionality in our scaffolds, including for example in the development of RMC-5552 which currently requires a cold chain storage of zero degrees Celsius; and</w:t>
      </w:r>
    </w:p>
    <w:p>
      <w:pPr>
        <w:spacing w:after="0" w:line="114" w:lineRule="exact"/>
        <w:rPr>
          <w:rFonts w:ascii="Arial" w:cs="Arial" w:eastAsia="Arial" w:hAnsi="Arial"/>
          <w:sz w:val="18"/>
          <w:szCs w:val="18"/>
          <w:color w:val="auto"/>
        </w:rPr>
      </w:pPr>
    </w:p>
    <w:p>
      <w:pPr>
        <w:ind w:left="340" w:right="380" w:hanging="224"/>
        <w:spacing w:after="0" w:line="238"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00" w:lineRule="exact"/>
        <w:rPr>
          <w:sz w:val="20"/>
          <w:szCs w:val="20"/>
          <w:color w:val="auto"/>
        </w:rPr>
      </w:pPr>
    </w:p>
    <w:p>
      <w:pPr>
        <w:ind w:left="120" w:right="20"/>
        <w:spacing w:after="0" w:line="271" w:lineRule="auto"/>
        <w:rPr>
          <w:sz w:val="20"/>
          <w:szCs w:val="20"/>
          <w:color w:val="auto"/>
        </w:rPr>
      </w:pPr>
      <w:r>
        <w:rPr>
          <w:rFonts w:ascii="Arial" w:cs="Arial" w:eastAsia="Arial" w:hAnsi="Arial"/>
          <w:sz w:val="16"/>
          <w:szCs w:val="16"/>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In particular, competitors may develop and commercialize a product that competes with a product candidate we may develop from our RAS(ON) program as some of our competitors in this area are pursuing conventional small molecules directed to other forms of RAS, such as RAS(OFF), and are further along in development than we currently are. Any such setbacks in our research and development of a BRo5 small molecule could have a material adverse effect on our business and operating results.</w:t>
      </w:r>
    </w:p>
    <w:p>
      <w:pPr>
        <w:spacing w:after="0" w:line="56"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94"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 or indications;</w:t>
      </w:r>
    </w:p>
    <w:p>
      <w:pPr>
        <w:spacing w:after="0" w:line="114"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340" w:right="6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0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280"/>
        <w:spacing w:after="0" w:line="248" w:lineRule="auto"/>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9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0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13" w:lineRule="exact"/>
        <w:rPr>
          <w:sz w:val="20"/>
          <w:szCs w:val="20"/>
          <w:color w:val="auto"/>
        </w:rPr>
      </w:pPr>
    </w:p>
    <w:p>
      <w:pPr>
        <w:ind w:left="340" w:right="180" w:hanging="224"/>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7"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with mutations in the signaling pathways our therapies are designed to target, or enrollment in these clinical trials may be slower than we anticipate or participants may drop out of these clinical trials or fail to return for post-treatment follow-up at a higher rate than we anticipate;</w:t>
      </w:r>
    </w:p>
    <w:p>
      <w:pPr>
        <w:spacing w:after="0" w:line="113" w:lineRule="exact"/>
        <w:rPr>
          <w:rFonts w:ascii="Arial" w:cs="Arial" w:eastAsia="Arial" w:hAnsi="Arial"/>
          <w:sz w:val="18"/>
          <w:szCs w:val="18"/>
          <w:color w:val="auto"/>
        </w:rPr>
      </w:pPr>
    </w:p>
    <w:p>
      <w:pPr>
        <w:ind w:left="340" w:right="60" w:hanging="224"/>
        <w:spacing w:after="0" w:line="23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13" w:lineRule="exact"/>
        <w:rPr>
          <w:rFonts w:ascii="Arial" w:cs="Arial" w:eastAsia="Arial" w:hAnsi="Arial"/>
          <w:sz w:val="18"/>
          <w:szCs w:val="18"/>
          <w:color w:val="auto"/>
        </w:rPr>
      </w:pPr>
    </w:p>
    <w:p>
      <w:pPr>
        <w:ind w:left="340" w:right="780" w:hanging="224"/>
        <w:spacing w:after="0" w:line="239"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00"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06"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8"/>
          <w:szCs w:val="18"/>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00"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80" w:lineRule="exact"/>
        <w:rPr>
          <w:sz w:val="20"/>
          <w:szCs w:val="20"/>
          <w:color w:val="auto"/>
        </w:rPr>
      </w:pPr>
    </w:p>
    <w:p>
      <w:pPr>
        <w:ind w:left="120" w:right="40"/>
        <w:spacing w:after="0" w:line="248" w:lineRule="auto"/>
        <w:rPr>
          <w:sz w:val="20"/>
          <w:szCs w:val="20"/>
          <w:color w:val="auto"/>
        </w:rPr>
      </w:pPr>
      <w:r>
        <w:rPr>
          <w:rFonts w:ascii="Arial" w:cs="Arial" w:eastAsia="Arial" w:hAnsi="Arial"/>
          <w:sz w:val="18"/>
          <w:szCs w:val="18"/>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94" w:lineRule="exact"/>
        <w:rPr>
          <w:sz w:val="20"/>
          <w:szCs w:val="20"/>
          <w:color w:val="auto"/>
        </w:rPr>
      </w:pPr>
    </w:p>
    <w:p>
      <w:pPr>
        <w:ind w:left="120" w:right="300"/>
        <w:spacing w:after="0" w:line="236" w:lineRule="auto"/>
        <w:rPr>
          <w:sz w:val="20"/>
          <w:szCs w:val="20"/>
          <w:color w:val="auto"/>
        </w:rPr>
      </w:pPr>
      <w:r>
        <w:rPr>
          <w:rFonts w:ascii="Arial" w:cs="Arial" w:eastAsia="Arial" w:hAnsi="Arial"/>
          <w:sz w:val="18"/>
          <w:szCs w:val="18"/>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2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For example, we have reported interim Phase 1 clinical data for RMC-4630 as a single agent. As of the cutoff date of May 4, 2020, 87 patients had received treatment: 49 patients on a daily dosing schedule with a median exposure to study drug of only 1.8 months, and 38 patients on an intermittent dosing schedule, with median exposure to study drug of only 1.8 months. We have also reported interim Phase 1b/2 clinical data for RMC-4630 in combination with the MEK inhibitor cobimetinib. As of the cutoff date of November 14, 2019, these data included eight patients with median exposure to study drug of only 1.4 months. Our clinical trial program is ongoing, and the final results may be materially different from what we previously reported and what is reported in this prospectus.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8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267"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be adversely affected.</w:t>
      </w:r>
    </w:p>
    <w:p>
      <w:pPr>
        <w:spacing w:after="0" w:line="81"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113"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340" w:right="42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14" w:lineRule="exact"/>
        <w:rPr>
          <w:rFonts w:ascii="Arial" w:cs="Arial" w:eastAsia="Arial" w:hAnsi="Arial"/>
          <w:sz w:val="18"/>
          <w:szCs w:val="18"/>
          <w:color w:val="auto"/>
        </w:rPr>
      </w:pPr>
    </w:p>
    <w:p>
      <w:pPr>
        <w:ind w:left="340" w:right="280" w:hanging="224"/>
        <w:spacing w:after="0" w:line="23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our clinical trial investigators to enroll patients in cases of outbreak of disease, including COVID-19, or other natural disasters.</w:t>
      </w:r>
    </w:p>
    <w:p>
      <w:pPr>
        <w:spacing w:after="0" w:line="1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0"/>
          <w:szCs w:val="10"/>
          <w:color w:val="auto"/>
        </w:rPr>
        <w:t>G12C</w:t>
      </w:r>
      <w:r>
        <w:rPr>
          <w:rFonts w:ascii="Arial" w:cs="Arial" w:eastAsia="Arial" w:hAnsi="Arial"/>
          <w:sz w:val="16"/>
          <w:szCs w:val="16"/>
          <w:color w:val="auto"/>
        </w:rPr>
        <w:t xml:space="preserve"> mutations)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w:t>
      </w:r>
    </w:p>
    <w:p>
      <w:pPr>
        <w:spacing w:after="0" w:line="78"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 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94"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69"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RMC-4630-01 study is evaluating the safety, pharmacokinetics and pharmacodynamic effects of RMC-4630 as a single agent under daily and intermittent schedules. As of the cutoff date of May 4, 2020, for those receiving RMC-4630 on the intermittent dosing schedule, four patients (11%) had serious adverse events, or SAEs, thought to be possibly or probably related to the study drug as assessed by the trial sponsor across all intermittent dosing cohorts. Three SAEs were reported among three patients receiving 200 mg D1D4 (Grade 3 abdominal distention, Grade 3 anemia, Grade 2 deep vein thrombosis, one patient each). Four SAEs were reported in one patient receiving 240 mg D1D4 (pleural effusion, pulmonary embolism, nausea, and vomiting, all Grade 3). Three additional SAEs (cerebrovascular accident, multifocal pneumonia, and pleural effusion) were reported in which the investigator was unable to rule out an association with the study drug, but where the evidence for causality by RMC-4630 was absent or considered unlikely by the study sponsor. No treatment-related grade 4 or grade 5 adverse events, or AEs, had been reported as of the cutoff date. The most common treatment-related AEs for the intermittent dosing group were diarrhea (39.5%), anemia (26.3%), fatigue (26.3%), thrombocytopenia (26.3%) and edema (21.1%). For those receiving RMC-4630 on the daily schedule, three patients (6%) had SAEs thought to be possibly or probably related to the study drug as assessed by the trial sponsor. One Grade 2 event of dehydration was reported in the 60 mg daily cohort. One Grade 4 event of thrombocytopenia and one Grade 3 event of generalized edema were reported in the 80 mg daily cohort. Two additional SAEs (QTc prolongation and respiratory failure), both in the 60 mg daily cohort, were reported in which the investigator was unable to rule out an association with the study drug, but where the evidence for causality by RMC-4630 was absent or considered unlikely by the study sponsor. The most common treatment-related AEs for the daily dosing group were thrombocytopenia (30.6%), diarrhea (26.5%) and anemia (24.5%).</w:t>
      </w:r>
    </w:p>
    <w:p>
      <w:pPr>
        <w:spacing w:after="0" w:line="289" w:lineRule="exact"/>
        <w:rPr>
          <w:sz w:val="20"/>
          <w:szCs w:val="20"/>
          <w:color w:val="auto"/>
        </w:rPr>
      </w:pPr>
    </w:p>
    <w:p>
      <w:pPr>
        <w:ind w:left="120" w:right="100"/>
        <w:spacing w:after="0" w:line="272" w:lineRule="auto"/>
        <w:rPr>
          <w:sz w:val="20"/>
          <w:szCs w:val="20"/>
          <w:color w:val="auto"/>
        </w:rPr>
      </w:pPr>
      <w:r>
        <w:rPr>
          <w:rFonts w:ascii="Arial" w:cs="Arial" w:eastAsia="Arial" w:hAnsi="Arial"/>
          <w:sz w:val="16"/>
          <w:szCs w:val="16"/>
          <w:color w:val="auto"/>
        </w:rPr>
        <w:t>The RMC-4630-02 study is evaluating the safety, tolerability and pharmacokinetics of RMC-4630 and cobimetinib using intermittent dosing of RMC-4630 with daily dosing of cobimetinib. Alternative dosing schedules using intermittent dosing of one or both RMC-4630 and cobimetinib are also under evaluation. Adverse events were consistent with the expected mechanistic effects of both SHP2 inhibition and MEK inhibition. No SAEs or grade 4 or 5 AEs were reported in the RMC-4360-02 study as of the cutoff date of November 14, 2019. The most common AEs related to RMC-4630 were diarrhea (25.0%) and edema (25.0%). The most common AE related to cobimetinib was edema (25.0%).</w:t>
      </w:r>
    </w:p>
    <w:p>
      <w:pPr>
        <w:spacing w:after="0" w:line="78"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78" w:lineRule="exact"/>
        <w:rPr>
          <w:sz w:val="20"/>
          <w:szCs w:val="20"/>
          <w:color w:val="auto"/>
        </w:rPr>
      </w:pPr>
    </w:p>
    <w:p>
      <w:pPr>
        <w:ind w:left="120" w:right="420"/>
        <w:spacing w:after="0" w:line="238" w:lineRule="auto"/>
        <w:rPr>
          <w:sz w:val="20"/>
          <w:szCs w:val="20"/>
          <w:color w:val="auto"/>
        </w:rPr>
      </w:pPr>
      <w:r>
        <w:rPr>
          <w:rFonts w:ascii="Arial" w:cs="Arial" w:eastAsia="Arial" w:hAnsi="Arial"/>
          <w:sz w:val="18"/>
          <w:szCs w:val="18"/>
          <w:color w:val="auto"/>
        </w:rPr>
        <w:t>Furthermore, certain of our product candidates, such as RMC-4630, are currently being, and may in the future be, co-administered with approved or experimental therapies, such as Roche’s cobimetinib, Amgen’s sotorasib, Merck’s pembrolizumab, a PD-1 inhibitor, or Lilly’s LY3214996. These combinations may have additional side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effects. The uncertainty resulting from the use of our product candidates in combination with other therapies may make it difficult to accurately predict side effects in future clinical trials.</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14"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55" w:lineRule="exact"/>
        <w:rPr>
          <w:sz w:val="20"/>
          <w:szCs w:val="20"/>
          <w:color w:val="auto"/>
        </w:rPr>
      </w:pPr>
    </w:p>
    <w:p>
      <w:pPr>
        <w:ind w:left="120" w:right="22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9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06"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81"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81"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82"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Adverse events in the field of oncology could damage public perception of our current or future product candidates and negatively affect our business.</w:t>
      </w:r>
    </w:p>
    <w:p>
      <w:pPr>
        <w:spacing w:after="0" w:line="81" w:lineRule="exact"/>
        <w:rPr>
          <w:sz w:val="20"/>
          <w:szCs w:val="20"/>
          <w:color w:val="auto"/>
        </w:rPr>
      </w:pPr>
    </w:p>
    <w:p>
      <w:pPr>
        <w:ind w:left="120" w:right="120"/>
        <w:spacing w:after="0" w:line="275" w:lineRule="auto"/>
        <w:rPr>
          <w:sz w:val="20"/>
          <w:szCs w:val="20"/>
          <w:color w:val="auto"/>
        </w:rPr>
      </w:pPr>
      <w:r>
        <w:rPr>
          <w:rFonts w:ascii="Arial" w:cs="Arial" w:eastAsia="Arial" w:hAnsi="Arial"/>
          <w:sz w:val="16"/>
          <w:szCs w:val="16"/>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100"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80" w:lineRule="exact"/>
        <w:rPr>
          <w:sz w:val="20"/>
          <w:szCs w:val="20"/>
          <w:color w:val="auto"/>
        </w:rPr>
      </w:pPr>
    </w:p>
    <w:p>
      <w:pPr>
        <w:jc w:val="both"/>
        <w:ind w:left="120" w:right="220"/>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19" w:lineRule="exact"/>
        <w:rPr>
          <w:sz w:val="20"/>
          <w:szCs w:val="20"/>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340" w:right="560" w:hanging="224"/>
        <w:spacing w:after="0" w:line="23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81" w:lineRule="exact"/>
        <w:rPr>
          <w:sz w:val="20"/>
          <w:szCs w:val="20"/>
          <w:color w:val="auto"/>
        </w:rPr>
      </w:pPr>
    </w:p>
    <w:p>
      <w:pPr>
        <w:ind w:left="120" w:right="100"/>
        <w:spacing w:after="0" w:line="271"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0" w:lineRule="exact"/>
        <w:rPr>
          <w:sz w:val="20"/>
          <w:szCs w:val="20"/>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84" w:lineRule="exact"/>
        <w:rPr>
          <w:sz w:val="20"/>
          <w:szCs w:val="20"/>
          <w:color w:val="auto"/>
        </w:rPr>
      </w:pPr>
    </w:p>
    <w:p>
      <w:pPr>
        <w:ind w:left="120" w:right="300"/>
        <w:spacing w:after="0" w:line="262"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0"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We are developing RMC-4630 in combination with Roche’s cobimetinib and with Amgen’s sotorasib, and may in the future, develop RMC-4630 and other product candidates in combination with other therapies, which exposes us to additional risks.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developing RMC-4630 in combination with Roche’s cobimetinib, with Amgen’s sotorasib, and Merck’s pembrolizumab, and may in the future, develop RMC-4630 and other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00"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We may also evaluate RMC-4630 or any other current or future product candidates in combination with one or more other cancer therapies, such as Lilly’s LY3214996, that have not yet been approved for marketing by the FDA or similar regulatory authorities outside of the United States or with approved cancer therapies at an unapproved dose and/or schedule, and/or with approved cancer therapies in unapproved indications. We will not be able to market and sell RMC-4630 or any product candidate we develop in combination with any such cancer therapies outside existing approved labels that do not ultimately obtain marketing approval.</w:t>
      </w:r>
    </w:p>
    <w:p>
      <w:pPr>
        <w:spacing w:after="0" w:line="10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any such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82" w:lineRule="exact"/>
        <w:rPr>
          <w:sz w:val="20"/>
          <w:szCs w:val="20"/>
          <w:color w:val="auto"/>
        </w:rPr>
      </w:pPr>
    </w:p>
    <w:p>
      <w:pPr>
        <w:ind w:left="120" w:right="880"/>
        <w:spacing w:after="0" w:line="262"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8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and Relay Therapeutics Inc. There are several RAS pathway mutations programs, including those directed at KRAS</w:t>
      </w:r>
      <w:r>
        <w:rPr>
          <w:rFonts w:ascii="Arial" w:cs="Arial" w:eastAsia="Arial" w:hAnsi="Arial"/>
          <w:sz w:val="11"/>
          <w:szCs w:val="11"/>
          <w:color w:val="auto"/>
        </w:rPr>
        <w:t>G12C</w:t>
      </w:r>
      <w:r>
        <w:rPr>
          <w:rFonts w:ascii="Arial" w:cs="Arial" w:eastAsia="Arial" w:hAnsi="Arial"/>
          <w:sz w:val="18"/>
          <w:szCs w:val="18"/>
          <w:color w:val="auto"/>
        </w:rPr>
        <w:t>(OFF) and 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81" w:lineRule="exact"/>
        <w:rPr>
          <w:sz w:val="20"/>
          <w:szCs w:val="20"/>
          <w:color w:val="auto"/>
        </w:rPr>
      </w:pPr>
    </w:p>
    <w:p>
      <w:pPr>
        <w:ind w:left="120" w:right="960"/>
        <w:spacing w:after="0" w:line="26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81"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02"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86" w:lineRule="exact"/>
        <w:rPr>
          <w:sz w:val="20"/>
          <w:szCs w:val="20"/>
          <w:color w:val="auto"/>
        </w:rPr>
      </w:pPr>
    </w:p>
    <w:p>
      <w:pPr>
        <w:ind w:left="120" w:right="300"/>
        <w:spacing w:after="0" w:line="262"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mutant RAS(ON) target.</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from better opportunities. Similarly, our decisions to delay or terminate development programs may also be incorrect and could cause us to miss valuable opportunities.</w:t>
      </w:r>
    </w:p>
    <w:p>
      <w:pPr>
        <w:spacing w:after="0" w:line="81" w:lineRule="exact"/>
        <w:rPr>
          <w:sz w:val="20"/>
          <w:szCs w:val="20"/>
          <w:color w:val="auto"/>
        </w:rPr>
      </w:pPr>
    </w:p>
    <w:p>
      <w:pPr>
        <w:ind w:left="120" w:right="180"/>
        <w:spacing w:after="0" w:line="325"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35" w:lineRule="exact"/>
        <w:rPr>
          <w:sz w:val="20"/>
          <w:szCs w:val="20"/>
          <w:color w:val="auto"/>
        </w:rPr>
      </w:pPr>
    </w:p>
    <w:p>
      <w:pPr>
        <w:ind w:left="120" w:right="280"/>
        <w:spacing w:after="0" w:line="275" w:lineRule="auto"/>
        <w:rPr>
          <w:sz w:val="20"/>
          <w:szCs w:val="20"/>
          <w:color w:val="auto"/>
        </w:rPr>
      </w:pPr>
      <w:r>
        <w:rPr>
          <w:rFonts w:ascii="Arial" w:cs="Arial" w:eastAsia="Arial" w:hAnsi="Arial"/>
          <w:sz w:val="16"/>
          <w:szCs w:val="16"/>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75"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 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286"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80"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96"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1"/>
          <w:szCs w:val="11"/>
          <w:color w:val="auto"/>
        </w:rPr>
        <w:t>®</w:t>
      </w:r>
      <w:r>
        <w:rPr>
          <w:rFonts w:ascii="Arial" w:cs="Arial" w:eastAsia="Arial" w:hAnsi="Arial"/>
          <w:sz w:val="18"/>
          <w:szCs w:val="18"/>
          <w:color w:val="auto"/>
        </w:rPr>
        <w:t xml:space="preserve"> CDX), or develop novel complementary diagnostics and/or novel companion diagnostics in collaboration with partners.</w:t>
      </w:r>
    </w:p>
    <w:p>
      <w:pPr>
        <w:spacing w:after="0" w:line="10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unsuccessful in entering into collaborations for the development of companion diagnostics for our programs and our current or future product candidates.</w:t>
      </w:r>
    </w:p>
    <w:p>
      <w:pPr>
        <w:spacing w:after="0" w:line="10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114" w:lineRule="exact"/>
        <w:rPr>
          <w:sz w:val="20"/>
          <w:szCs w:val="20"/>
          <w:color w:val="auto"/>
        </w:rPr>
      </w:pPr>
    </w:p>
    <w:p>
      <w:pPr>
        <w:ind w:left="340" w:right="720" w:hanging="224"/>
        <w:spacing w:after="0" w:line="23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114" w:lineRule="exact"/>
        <w:rPr>
          <w:rFonts w:ascii="Arial" w:cs="Arial" w:eastAsia="Arial" w:hAnsi="Arial"/>
          <w:sz w:val="18"/>
          <w:szCs w:val="18"/>
          <w:color w:val="auto"/>
        </w:rPr>
      </w:pPr>
    </w:p>
    <w:p>
      <w:pPr>
        <w:jc w:val="both"/>
        <w:ind w:left="340" w:right="120" w:hanging="224"/>
        <w:spacing w:after="0" w:line="23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84"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02"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0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69" w:lineRule="auto"/>
        <w:rPr>
          <w:sz w:val="20"/>
          <w:szCs w:val="20"/>
          <w:color w:val="auto"/>
        </w:rPr>
      </w:pPr>
      <w:r>
        <w:rPr>
          <w:rFonts w:ascii="Arial" w:cs="Arial" w:eastAsia="Arial" w:hAnsi="Arial"/>
          <w:sz w:val="16"/>
          <w:szCs w:val="16"/>
          <w:color w:val="auto"/>
        </w:rPr>
        <w:t>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58" w:lineRule="exact"/>
        <w:rPr>
          <w:sz w:val="20"/>
          <w:szCs w:val="20"/>
          <w:color w:val="auto"/>
        </w:rPr>
      </w:pPr>
    </w:p>
    <w:p>
      <w:pPr>
        <w:ind w:left="120" w:right="560"/>
        <w:spacing w:after="0" w:line="262"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As part of our business strategy, we may seek Orphan Drug Designation for any product candidates we develop,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0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80" w:lineRule="exact"/>
        <w:rPr>
          <w:sz w:val="20"/>
          <w:szCs w:val="20"/>
          <w:color w:val="auto"/>
        </w:rPr>
      </w:pPr>
    </w:p>
    <w:p>
      <w:pPr>
        <w:ind w:left="120" w:right="1480"/>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113"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01"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Insurance coverage is increasingly expensive. We may not be able to maintain insurance at a reasonable cost or in an amount adequate to satisfy any liability that may arise, if at all. Our insurance policy contains various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By way of example,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In addition, the Tax Cuts and Jobs Act, or the TCJA,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Texas U.S. District Court Judge ruled that the ACA is unconstitutional in its entirety because the “individual mandate” was repealed by Congress as part of the TCJA.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w:t>
      </w:r>
    </w:p>
    <w:p>
      <w:pPr>
        <w:spacing w:after="0" w:line="28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2029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addition, on January 2, 2013, the American Taxpayer Relief Act of 2012 was signed into law, which, among other things, further reduced Medicare payments to several types of providers.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00" w:lineRule="exact"/>
        <w:rPr>
          <w:sz w:val="20"/>
          <w:szCs w:val="20"/>
          <w:color w:val="auto"/>
        </w:rPr>
      </w:pPr>
    </w:p>
    <w:p>
      <w:pPr>
        <w:ind w:left="120" w:right="220"/>
        <w:spacing w:after="0" w:line="27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5" w:lineRule="exact"/>
        <w:rPr>
          <w:sz w:val="20"/>
          <w:szCs w:val="20"/>
          <w:color w:val="auto"/>
        </w:rPr>
      </w:pPr>
    </w:p>
    <w:p>
      <w:pPr>
        <w:ind w:left="120" w:right="260"/>
        <w:spacing w:after="0" w:line="262"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reliance on third parties</w:t>
      </w:r>
    </w:p>
    <w:p>
      <w:pPr>
        <w:spacing w:after="0" w:line="114" w:lineRule="exact"/>
        <w:rPr>
          <w:sz w:val="20"/>
          <w:szCs w:val="20"/>
          <w:color w:val="auto"/>
        </w:rPr>
      </w:pPr>
    </w:p>
    <w:p>
      <w:pPr>
        <w:ind w:left="120" w:right="320"/>
        <w:spacing w:after="0" w:line="294" w:lineRule="auto"/>
        <w:rPr>
          <w:sz w:val="20"/>
          <w:szCs w:val="20"/>
          <w:color w:val="auto"/>
        </w:rPr>
      </w:pPr>
      <w:r>
        <w:rPr>
          <w:rFonts w:ascii="Arial" w:cs="Arial" w:eastAsia="Arial" w:hAnsi="Arial"/>
          <w:sz w:val="16"/>
          <w:szCs w:val="16"/>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59"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100"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86"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94"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00"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Collaborations involving our current and future product candidates, including our current collaborations with Sanofi, Roche and Amgen may pose the following risks to us:</w:t>
      </w:r>
    </w:p>
    <w:p>
      <w:pPr>
        <w:spacing w:after="0" w:line="114" w:lineRule="exact"/>
        <w:rPr>
          <w:sz w:val="20"/>
          <w:szCs w:val="20"/>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340" w:right="72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14" w:lineRule="exact"/>
        <w:rPr>
          <w:rFonts w:ascii="Arial" w:cs="Arial" w:eastAsia="Arial" w:hAnsi="Arial"/>
          <w:sz w:val="18"/>
          <w:szCs w:val="18"/>
          <w:color w:val="auto"/>
        </w:rPr>
      </w:pPr>
    </w:p>
    <w:p>
      <w:pPr>
        <w:ind w:left="340" w:right="30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4" w:lineRule="exact"/>
        <w:rPr>
          <w:rFonts w:ascii="Arial" w:cs="Arial" w:eastAsia="Arial" w:hAnsi="Arial"/>
          <w:sz w:val="18"/>
          <w:szCs w:val="18"/>
          <w:color w:val="auto"/>
        </w:rPr>
      </w:pPr>
    </w:p>
    <w:p>
      <w:pPr>
        <w:ind w:left="340" w:right="46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13"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0" w:hanging="224"/>
        <w:spacing w:after="0" w:line="299"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68" w:lineRule="exact"/>
        <w:rPr>
          <w:rFonts w:ascii="Arial" w:cs="Arial" w:eastAsia="Arial" w:hAnsi="Arial"/>
          <w:sz w:val="16"/>
          <w:szCs w:val="16"/>
          <w:color w:val="auto"/>
        </w:rPr>
      </w:pPr>
    </w:p>
    <w:p>
      <w:pPr>
        <w:ind w:left="340" w:hanging="224"/>
        <w:spacing w:after="0" w:line="23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01" w:lineRule="exact"/>
        <w:rPr>
          <w:sz w:val="20"/>
          <w:szCs w:val="20"/>
          <w:color w:val="auto"/>
        </w:rPr>
      </w:pPr>
    </w:p>
    <w:p>
      <w:pPr>
        <w:ind w:left="120" w:right="260"/>
        <w:spacing w:after="0" w:line="271" w:lineRule="auto"/>
        <w:rPr>
          <w:sz w:val="20"/>
          <w:szCs w:val="20"/>
          <w:color w:val="auto"/>
        </w:rPr>
      </w:pPr>
      <w:r>
        <w:rPr>
          <w:rFonts w:ascii="Arial" w:cs="Arial" w:eastAsia="Arial" w:hAnsi="Arial"/>
          <w:sz w:val="16"/>
          <w:szCs w:val="16"/>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56"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03" w:lineRule="exact"/>
        <w:rPr>
          <w:sz w:val="20"/>
          <w:szCs w:val="20"/>
          <w:color w:val="auto"/>
        </w:rPr>
      </w:pPr>
    </w:p>
    <w:p>
      <w:pPr>
        <w:ind w:left="120" w:right="60"/>
        <w:spacing w:after="0" w:line="26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8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00"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1" w:lineRule="exact"/>
        <w:rPr>
          <w:sz w:val="20"/>
          <w:szCs w:val="20"/>
          <w:color w:val="auto"/>
        </w:rPr>
      </w:pPr>
    </w:p>
    <w:p>
      <w:pPr>
        <w:ind w:left="120" w:right="80"/>
        <w:spacing w:after="0" w:line="262"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81" w:lineRule="exact"/>
        <w:rPr>
          <w:sz w:val="20"/>
          <w:szCs w:val="20"/>
          <w:color w:val="auto"/>
        </w:rPr>
      </w:pPr>
    </w:p>
    <w:p>
      <w:pPr>
        <w:jc w:val="both"/>
        <w:ind w:left="120" w:right="20"/>
        <w:spacing w:after="0" w:line="264" w:lineRule="auto"/>
        <w:rPr>
          <w:sz w:val="20"/>
          <w:szCs w:val="20"/>
          <w:color w:val="auto"/>
        </w:rPr>
      </w:pPr>
      <w:r>
        <w:rPr>
          <w:rFonts w:ascii="Arial" w:cs="Arial" w:eastAsia="Arial" w:hAnsi="Arial"/>
          <w:sz w:val="16"/>
          <w:szCs w:val="16"/>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 competitive with the products or potential products that are the subject of these collaborations.</w:t>
      </w:r>
    </w:p>
    <w:p>
      <w:pPr>
        <w:ind w:left="120" w:right="40"/>
        <w:spacing w:after="0" w:line="236" w:lineRule="auto"/>
        <w:rPr>
          <w:sz w:val="20"/>
          <w:szCs w:val="20"/>
          <w:color w:val="auto"/>
        </w:rPr>
      </w:pPr>
      <w:r>
        <w:rPr>
          <w:rFonts w:ascii="Arial" w:cs="Arial" w:eastAsia="Arial" w:hAnsi="Arial"/>
          <w:sz w:val="18"/>
          <w:szCs w:val="18"/>
          <w:color w:val="auto"/>
        </w:rPr>
        <w:t>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83"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9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including collaboration partners, to conduct or otherwise support clinical trials for RMC-4630 and other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0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trials will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0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Although we intend to design the clinical trials for our product candidates, or be involved in the design when other parties sponsor the trials, third parties conduct all of the clinical trials. For example, Amgen is conducting the Phase 1b trial evaluating the combination of RMC-4630 and sotorasib and Sanofi is conducting the Phase 1 trial evaluating the combination of RMC-4630 and pembrolizumab. In addition, in March 2020, the Pancreatic Cancer Collective (a strategic partnership between Lustgarten Foundation and Stand Up To Cancer) announced that it had awarded funding to the Netherlands Cancer Institute for its study using RMC-4630 in combination with an investigational ERK inhibitor (LY3214996) in patients with pancreatic cancer. We plan to provide RMC-4630 to support this investigator sponsored study.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20"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All of our clinical trial sites for our RMC-4630 clinical studies are currently located in the U.S., and may be affected by the COVID-19 outbreak due to prioritization of hospital resources toward the COVID-19 outbreak, travel or quarantine restrictions imposed by federal, state or local governments, and the inability to access sites for initiation and patient monitoring and enrollment. As a result, patient screening, new patient enrollment, monitoring and data collection may be affected or delayed. We are aware of several clinical sites involved in our RMC-4630 clinical studies that have temporarily stopped or delayed enrolling new patients, with exemptions if appropriate. These developments may delay our clinical trial timelines.</w:t>
      </w:r>
    </w:p>
    <w:p>
      <w:pPr>
        <w:spacing w:after="0" w:line="82"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9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00"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69"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100"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00"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establish and maintain arrangements with third-party manufacturers, reliance on third-party manufacturers entails risks, including:</w:t>
      </w:r>
    </w:p>
    <w:p>
      <w:pPr>
        <w:spacing w:after="0" w:line="117"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0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Some of our third-party manufacturers which we use for the supply of materials for product candidates or other materials necessary to manufacture product to conduct clinical trials are located in countries affected by COVID-19, and should they experience disruptions, such as temporary closures or suspension of services, we would likely experience delays in advancing these trials. Currently, we expect no material impact on the clinical supply of RMC-4630.</w:t>
      </w:r>
    </w:p>
    <w:p>
      <w:pPr>
        <w:spacing w:after="0" w:line="100" w:lineRule="exact"/>
        <w:rPr>
          <w:sz w:val="20"/>
          <w:szCs w:val="20"/>
          <w:color w:val="auto"/>
        </w:rPr>
      </w:pPr>
    </w:p>
    <w:p>
      <w:pPr>
        <w:ind w:left="120" w:right="820"/>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80" w:lineRule="exact"/>
        <w:rPr>
          <w:sz w:val="20"/>
          <w:szCs w:val="20"/>
          <w:color w:val="auto"/>
        </w:rPr>
      </w:pPr>
    </w:p>
    <w:p>
      <w:pPr>
        <w:ind w:left="120" w:right="420"/>
        <w:spacing w:after="0" w:line="244"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96"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116" w:lineRule="exact"/>
        <w:rPr>
          <w:sz w:val="20"/>
          <w:szCs w:val="20"/>
          <w:color w:val="auto"/>
        </w:rPr>
      </w:pPr>
    </w:p>
    <w:p>
      <w:pPr>
        <w:ind w:left="340" w:right="60" w:hanging="224"/>
        <w:spacing w:after="0" w:line="23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13" w:lineRule="exact"/>
        <w:rPr>
          <w:rFonts w:ascii="Arial" w:cs="Arial" w:eastAsia="Arial" w:hAnsi="Arial"/>
          <w:sz w:val="18"/>
          <w:szCs w:val="18"/>
          <w:color w:val="auto"/>
        </w:rPr>
      </w:pPr>
    </w:p>
    <w:p>
      <w:pPr>
        <w:ind w:left="340" w:right="60" w:hanging="224"/>
        <w:spacing w:after="0" w:line="23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116" w:lineRule="exact"/>
        <w:rPr>
          <w:rFonts w:ascii="Arial" w:cs="Arial" w:eastAsia="Arial" w:hAnsi="Arial"/>
          <w:sz w:val="18"/>
          <w:szCs w:val="18"/>
          <w:color w:val="auto"/>
        </w:rPr>
      </w:pPr>
    </w:p>
    <w:p>
      <w:pPr>
        <w:ind w:left="340" w:hanging="224"/>
        <w:spacing w:after="0" w:line="23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14" w:lineRule="exact"/>
        <w:rPr>
          <w:rFonts w:ascii="Arial" w:cs="Arial" w:eastAsia="Arial" w:hAnsi="Arial"/>
          <w:sz w:val="18"/>
          <w:szCs w:val="18"/>
          <w:color w:val="auto"/>
        </w:rPr>
      </w:pPr>
    </w:p>
    <w:p>
      <w:pPr>
        <w:ind w:left="340" w:right="100" w:hanging="224"/>
        <w:spacing w:after="0" w:line="23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5" w:lineRule="exact"/>
        <w:rPr>
          <w:rFonts w:ascii="Arial" w:cs="Arial" w:eastAsia="Arial" w:hAnsi="Arial"/>
          <w:sz w:val="18"/>
          <w:szCs w:val="18"/>
          <w:color w:val="auto"/>
        </w:rPr>
      </w:pPr>
    </w:p>
    <w:p>
      <w:pPr>
        <w:ind w:left="340" w:right="40" w:hanging="224"/>
        <w:spacing w:after="0" w:line="23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120"/>
        <w:spacing w:after="0" w:line="237" w:lineRule="auto"/>
        <w:rPr>
          <w:sz w:val="20"/>
          <w:szCs w:val="20"/>
          <w:color w:val="auto"/>
        </w:rPr>
      </w:pPr>
      <w:r>
        <w:rPr>
          <w:rFonts w:ascii="Arial" w:cs="Arial" w:eastAsia="Arial" w:hAnsi="Arial"/>
          <w:sz w:val="18"/>
          <w:szCs w:val="18"/>
          <w:color w:val="auto"/>
        </w:rPr>
        <w:t>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 midwives;</w:t>
      </w:r>
    </w:p>
    <w:p>
      <w:pPr>
        <w:spacing w:after="0" w:line="114" w:lineRule="exact"/>
        <w:rPr>
          <w:sz w:val="20"/>
          <w:szCs w:val="20"/>
          <w:color w:val="auto"/>
        </w:rPr>
      </w:pPr>
    </w:p>
    <w:p>
      <w:pPr>
        <w:ind w:left="340" w:right="160" w:hanging="224"/>
        <w:spacing w:after="0" w:line="23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14" w:lineRule="exact"/>
        <w:rPr>
          <w:rFonts w:ascii="Arial" w:cs="Arial" w:eastAsia="Arial" w:hAnsi="Arial"/>
          <w:sz w:val="18"/>
          <w:szCs w:val="18"/>
          <w:color w:val="auto"/>
        </w:rPr>
      </w:pPr>
    </w:p>
    <w:p>
      <w:pPr>
        <w:ind w:left="340" w:right="120" w:hanging="224"/>
        <w:spacing w:after="0" w:line="267"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California Consumer Privacy Act, or CCPA, which creates individual privacy rights for California consumers and increases the privacy and security obligations of entities handling certain personal data, and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8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82"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1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9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have one issued patent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0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00"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6"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9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06"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8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06"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113" w:lineRule="exact"/>
        <w:rPr>
          <w:sz w:val="20"/>
          <w:szCs w:val="20"/>
          <w:color w:val="auto"/>
        </w:rPr>
      </w:pPr>
    </w:p>
    <w:p>
      <w:pPr>
        <w:ind w:left="5520" w:right="3320" w:hanging="5404"/>
        <w:spacing w:after="0" w:line="411" w:lineRule="auto"/>
        <w:tabs>
          <w:tab w:leader="none" w:pos="3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50</w:t>
      </w:r>
    </w:p>
    <w:p>
      <w:pPr>
        <w:sectPr>
          <w:pgSz w:w="11900" w:h="16838" w:orient="portrait"/>
          <w:cols w:equalWidth="0" w:num="1">
            <w:col w:w="11060"/>
          </w:cols>
          <w:pgMar w:left="32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50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0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03" w:lineRule="exact"/>
        <w:rPr>
          <w:sz w:val="20"/>
          <w:szCs w:val="20"/>
          <w:color w:val="auto"/>
        </w:rPr>
      </w:pPr>
    </w:p>
    <w:p>
      <w:pPr>
        <w:ind w:left="120" w:right="60"/>
        <w:spacing w:after="0" w:line="275"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80"/>
        <w:spacing w:after="0" w:line="325"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3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05"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00"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7" w:lineRule="auto"/>
        <w:rPr>
          <w:sz w:val="20"/>
          <w:szCs w:val="20"/>
          <w:color w:val="auto"/>
        </w:rPr>
      </w:pPr>
      <w:r>
        <w:rPr>
          <w:rFonts w:ascii="Arial" w:cs="Arial" w:eastAsia="Arial" w:hAnsi="Arial"/>
          <w:sz w:val="16"/>
          <w:szCs w:val="16"/>
          <w:color w:val="auto"/>
        </w:rPr>
        <w:t>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28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06"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issuing and could provoke third parties to assert claims against us. We may not prevail in any lawsuits that we initiate, and the damages or other remedies awarded, if any, may not be commercially meaningful.</w:t>
      </w:r>
    </w:p>
    <w:p>
      <w:pPr>
        <w:spacing w:after="0" w:line="10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81" w:lineRule="exact"/>
        <w:rPr>
          <w:sz w:val="20"/>
          <w:szCs w:val="20"/>
          <w:color w:val="auto"/>
        </w:rPr>
      </w:pPr>
    </w:p>
    <w:p>
      <w:pPr>
        <w:ind w:left="120" w:right="940"/>
        <w:spacing w:after="0" w:line="262"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0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58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9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86" w:lineRule="exact"/>
        <w:rPr>
          <w:sz w:val="20"/>
          <w:szCs w:val="20"/>
          <w:color w:val="auto"/>
        </w:rPr>
      </w:pPr>
    </w:p>
    <w:p>
      <w:pPr>
        <w:ind w:left="120" w:right="160"/>
        <w:spacing w:after="0" w:line="24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94" w:lineRule="exact"/>
        <w:rPr>
          <w:sz w:val="20"/>
          <w:szCs w:val="20"/>
          <w:color w:val="auto"/>
        </w:rPr>
      </w:pPr>
    </w:p>
    <w:p>
      <w:pPr>
        <w:ind w:left="120" w:right="20"/>
        <w:spacing w:after="0" w:line="26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28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00" w:lineRule="exact"/>
        <w:rPr>
          <w:sz w:val="20"/>
          <w:szCs w:val="20"/>
          <w:color w:val="auto"/>
        </w:rPr>
      </w:pPr>
    </w:p>
    <w:p>
      <w:pPr>
        <w:jc w:val="both"/>
        <w:ind w:left="120" w:right="40"/>
        <w:spacing w:after="0" w:line="237"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00"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86"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8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85"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0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120" w:right="440"/>
        <w:spacing w:after="0" w:line="27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ind w:left="120" w:right="80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1"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06"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83" w:lineRule="exact"/>
        <w:rPr>
          <w:sz w:val="20"/>
          <w:szCs w:val="20"/>
          <w:color w:val="auto"/>
        </w:rPr>
      </w:pPr>
    </w:p>
    <w:p>
      <w:pPr>
        <w:ind w:left="120" w:right="10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340" w:right="2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file patent applications covering certain of our or their inventions;</w:t>
      </w:r>
    </w:p>
    <w:p>
      <w:pPr>
        <w:spacing w:after="0" w:line="117"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4"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50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employee matters, managing our growth and other risks related to our business</w:t>
      </w:r>
    </w:p>
    <w:p>
      <w:pPr>
        <w:spacing w:after="0" w:line="114" w:lineRule="exact"/>
        <w:rPr>
          <w:sz w:val="20"/>
          <w:szCs w:val="20"/>
          <w:color w:val="auto"/>
        </w:rPr>
      </w:pPr>
    </w:p>
    <w:p>
      <w:pPr>
        <w:ind w:left="120" w:right="140"/>
        <w:spacing w:after="0" w:line="262"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8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00"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62"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72" w:lineRule="auto"/>
        <w:rPr>
          <w:sz w:val="20"/>
          <w:szCs w:val="20"/>
          <w:color w:val="auto"/>
        </w:rPr>
      </w:pPr>
      <w:r>
        <w:rPr>
          <w:rFonts w:ascii="Arial" w:cs="Arial" w:eastAsia="Arial" w:hAnsi="Arial"/>
          <w:sz w:val="16"/>
          <w:szCs w:val="16"/>
          <w:color w:val="auto"/>
        </w:rPr>
        <w:t>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24"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As of March 31, 2020, we had 100 full-time employees, including 84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14"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340" w:right="160" w:hanging="224"/>
        <w:spacing w:after="0" w:line="23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00"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80" w:lineRule="exact"/>
        <w:rPr>
          <w:sz w:val="20"/>
          <w:szCs w:val="20"/>
          <w:color w:val="auto"/>
        </w:rPr>
      </w:pPr>
    </w:p>
    <w:p>
      <w:pPr>
        <w:ind w:left="120" w:right="60"/>
        <w:spacing w:after="0" w:line="248" w:lineRule="auto"/>
        <w:rPr>
          <w:sz w:val="20"/>
          <w:szCs w:val="20"/>
          <w:color w:val="auto"/>
        </w:rPr>
      </w:pPr>
      <w:r>
        <w:rPr>
          <w:rFonts w:ascii="Arial" w:cs="Arial" w:eastAsia="Arial" w:hAnsi="Arial"/>
          <w:sz w:val="18"/>
          <w:szCs w:val="18"/>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94"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we acquired all of the outstanding shares of Warp Drive Bio, which became our direct wholly-owned subsidiary.</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80" w:lineRule="exact"/>
        <w:rPr>
          <w:sz w:val="20"/>
          <w:szCs w:val="20"/>
          <w:color w:val="auto"/>
        </w:rPr>
      </w:pPr>
    </w:p>
    <w:p>
      <w:pPr>
        <w:ind w:left="120" w:right="32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1"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0" w:lineRule="exact"/>
        <w:rPr>
          <w:sz w:val="20"/>
          <w:szCs w:val="20"/>
          <w:color w:val="auto"/>
        </w:rPr>
      </w:pPr>
    </w:p>
    <w:p>
      <w:pPr>
        <w:ind w:left="120" w:right="440"/>
        <w:spacing w:after="0" w:line="325"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3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If a natural disaster, power outage, outbreak of disease,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Furthermore, integral parties used in our preclinical activities and in our supply chain are similarly vulnerable to natural disasters, outbreak of disease, or other sudden, unforeseen and severe adverse events. If such an event were to affect our preclinical activities or our supply chain, it could have a material adverse effect on our business.</w:t>
      </w:r>
    </w:p>
    <w:p>
      <w:pPr>
        <w:spacing w:after="0" w:line="80" w:lineRule="exact"/>
        <w:rPr>
          <w:sz w:val="20"/>
          <w:szCs w:val="20"/>
          <w:color w:val="auto"/>
        </w:rPr>
      </w:pPr>
    </w:p>
    <w:p>
      <w:pPr>
        <w:ind w:left="120" w:right="820"/>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81" w:lineRule="exact"/>
        <w:rPr>
          <w:sz w:val="20"/>
          <w:szCs w:val="20"/>
          <w:color w:val="auto"/>
        </w:rPr>
      </w:pPr>
    </w:p>
    <w:p>
      <w:pPr>
        <w:ind w:left="120" w:right="20"/>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61" w:lineRule="exact"/>
        <w:rPr>
          <w:sz w:val="20"/>
          <w:szCs w:val="20"/>
          <w:color w:val="auto"/>
        </w:rPr>
      </w:pPr>
    </w:p>
    <w:p>
      <w:pPr>
        <w:ind w:left="120" w:right="32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3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120" w:right="500"/>
        <w:spacing w:after="0" w:line="262"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public offering price of our common stock is substantially higher than the as adjusted net tangible book value per share of our common stock. Therefore, if you purchase our common stock in this offering, you will pay a price per share that substantially exceeds the as adjusted net tangible book value per share after the completion of this offering. Based on an assumed public offering price of $31.01 per share, which is the last reported sale price of our common stock on the Nasdaq Global Select Market on July 2, 2020, you will experience immediate dilution of $23.75 per share, representing the difference between our as adjusted net tangible book value per share as of March 31, 2020 and the assumed public offering price. Furthermore, if the underwriters exercise their option to purchase additional shares, or outstanding options are exercised, you could experience further dilution. See “Dilution” for a more detailed description of the dilution to new investors in the offering.</w:t>
      </w:r>
    </w:p>
    <w:p>
      <w:pPr>
        <w:spacing w:after="0" w:line="80"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The price of our common stock is volatile and fluctuate substantially, which could result in substantial losses for purchasers of our common stock in this offering.</w:t>
      </w:r>
    </w:p>
    <w:p>
      <w:pPr>
        <w:spacing w:after="0" w:line="8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stock price is highly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public offering price. The market price for our common stock may be influenced by many factors, including:</w:t>
      </w:r>
    </w:p>
    <w:p>
      <w:pPr>
        <w:spacing w:after="0" w:line="114" w:lineRule="exact"/>
        <w:rPr>
          <w:sz w:val="20"/>
          <w:szCs w:val="20"/>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or those of our competitors;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04"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In addition, the trading prices for common stock of other biopharmaceutical companies have been highly volatile as a result of the COVID-19 pandemic. The COVID-19 pandemic continues to rapidly evolve. The extent to which the pandemic may impact our business, preclinical studies and clinical trials will depend on future developments, which are highly uncertain and cannot be predicted with confidence.</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at or above the public offering price.</w:t>
      </w:r>
    </w:p>
    <w:p>
      <w:pPr>
        <w:spacing w:after="0" w:line="81"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Prior to our IPO in February 2020, there was no public market for shares of our common stock. Shares of our common stock only recently began trading on the Nasdaq Global Select Market, but we can provide no assurance that we will be able to sustain an active trading market for our shares. The public offering price of our common stock has been determined through negotiations between us and the underwriters. This public offering price may not be indicative of the market price of our common stock after this offering. In the absence of an active trading market for our common stock, investors may not be able to sell their common stock at or above the public offering price or at the time that they would like to sell.</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83" w:lineRule="exact"/>
        <w:rPr>
          <w:sz w:val="20"/>
          <w:szCs w:val="20"/>
          <w:color w:val="auto"/>
        </w:rPr>
      </w:pPr>
    </w:p>
    <w:p>
      <w:pPr>
        <w:ind w:left="120" w:right="56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81" w:lineRule="exact"/>
        <w:rPr>
          <w:sz w:val="20"/>
          <w:szCs w:val="20"/>
          <w:color w:val="auto"/>
        </w:rPr>
      </w:pPr>
    </w:p>
    <w:p>
      <w:pPr>
        <w:ind w:left="120" w:right="40"/>
        <w:spacing w:after="0" w:line="264"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initial public offering, although circumstances could cause us to lose that status earlier. We will remain an emerging growth company until the earlier of (1) December 31, 2025, (2) the last day of the fiscal year in which we have total annual gross revenue of at least $1.07 billion, (3) the last day of the fiscal year in which we are deemed to be a large accelerated filer, which requires the market value of our common stock that is held by non-affiliates to exceed</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$700.0 million as of the prior June 30th, or (4)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0" w:lineRule="exact"/>
        <w:rPr>
          <w:sz w:val="20"/>
          <w:szCs w:val="20"/>
          <w:color w:val="auto"/>
        </w:rPr>
      </w:pPr>
    </w:p>
    <w:p>
      <w:pPr>
        <w:ind w:left="120" w:right="360"/>
        <w:spacing w:after="0" w:line="23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48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your ability to influence corporate matters and could delay or prevent a change in corporate control.</w:t>
      </w:r>
    </w:p>
    <w:p>
      <w:pPr>
        <w:spacing w:after="0" w:line="8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As of March 31, 2020, our executive officers, directors and their affiliates beneficially own, in the aggregate, approximately 43% of our outstanding common stock.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16"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0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See “Security Ownership of Certain Beneficial Owners and Management” as stated in our Annual Report on Form 10-K for the year ended December 31, 2019, incorporated by reference in this prospectus, for more information regarding the ownership of our outstanding common stock by our executive officers, directors and their affiliates.</w:t>
      </w:r>
    </w:p>
    <w:p>
      <w:pPr>
        <w:spacing w:after="0" w:line="80" w:lineRule="exact"/>
        <w:rPr>
          <w:sz w:val="20"/>
          <w:szCs w:val="20"/>
          <w:color w:val="auto"/>
        </w:rPr>
      </w:pPr>
    </w:p>
    <w:p>
      <w:pPr>
        <w:ind w:left="120" w:right="4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81"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We will have considerable discretion in the application of the net proceeds from this offering. As a result, investors will be relying upon management’s judgment with only limited information about our specific intentions for the use of the net proceeds from this offering. We may use the net proceeds from this offering for purposes that do not yield a significant return or any return at all for our stockholders. In addition, pending their use, we may invest the net proceeds from this offering in a manner that does not produce income or that loses value.</w:t>
      </w:r>
    </w:p>
    <w:p>
      <w:pPr>
        <w:spacing w:after="0" w:line="55"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is required to devote substantial time to new compliance initiatives.</w:t>
      </w:r>
    </w:p>
    <w:p>
      <w:pPr>
        <w:spacing w:after="0" w:line="8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Securities Exchange Act of 1934, as amended, or the Exchange Act, which requires, among other things, that we file with the U.S.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their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4"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 As of March 31, 2020, we had outstanding 59,003,644 shares of common stock. The resale of 42,895,971 shares, or 73% of our outstanding shares of common stock is currently prohibited or otherwise restricted as a result of securities law provisions, market standoff agreements entered into by certain of our stockholders with us or lock-up agreements entered into by our stockholders with the underwriters in connection with our IPO.</w:t>
      </w:r>
    </w:p>
    <w:p>
      <w:pPr>
        <w:spacing w:after="0" w:line="103" w:lineRule="exact"/>
        <w:rPr>
          <w:sz w:val="20"/>
          <w:szCs w:val="20"/>
          <w:color w:val="auto"/>
        </w:rPr>
      </w:pPr>
    </w:p>
    <w:p>
      <w:pPr>
        <w:ind w:left="120" w:right="300"/>
        <w:spacing w:after="0" w:line="236" w:lineRule="auto"/>
        <w:rPr>
          <w:sz w:val="20"/>
          <w:szCs w:val="20"/>
          <w:color w:val="auto"/>
        </w:rPr>
      </w:pPr>
      <w:r>
        <w:rPr>
          <w:rFonts w:ascii="Arial" w:cs="Arial" w:eastAsia="Arial" w:hAnsi="Arial"/>
          <w:sz w:val="18"/>
          <w:szCs w:val="18"/>
          <w:color w:val="auto"/>
        </w:rPr>
        <w:t>The lock-up agreements with the underwriters pertaining to our IPO or market stand-off provisions in agreements with us will expire after August 10, 2020. J.P. Morgan Securities LLC may, in its sole discretion, permit us or our stockholders who are subject to these lock-up agreements to sell shares prior to the expiration of the lock-up agreements or market stand-off provisions. After the lock-up agreements or market stand-off provisions with the underwriters of our IPO or market stand-off provisions in agreements with us expire, the shares of common stock will be eligible for sale in the public market. Approximately 55% of these additional shares are held by directors, executive officers and other affiliates and will be subject to certain limitations of Rule 144 under the Securities Act of 1933, as amended, or the Securities Act.</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we, our executive officers and directors and certain of our stockholders have agreed with the underwriters, subject to specific exceptions described in the section titled “Underwriting,” not to sell, directly or indirectly, any shares of common stock without the permission of J.P. Morgan Securities LLC for a period of 90 days following the date of this prospectus. When this lock-up period expires, we and our securityholders subject to a lock-up agreement could sell shares in the public market, which could cause our stock price to fall. J.P. Morgan Securities LLC may, in its sole discretion, permit our stockholders who are subject to these lock-up agreements to sell shares prior to the expiration of the lock-up agreements. See the description of the lock-up agreement with the underwriters of this offering in the section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of March 31, 2020, 11,207,358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market stand-off provisions in agreements with us and Rule 144 and Rule 701 under the Securities Act. If these additional shares of common stock are sold, or if it is perceived that they will be sold, in the public market, the market price of our common stock could decline.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In addition, the holders of approximately 39.6 million shares of our common stock are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55" w:lineRule="exact"/>
        <w:rPr>
          <w:sz w:val="20"/>
          <w:szCs w:val="20"/>
          <w:color w:val="auto"/>
        </w:rPr>
      </w:pPr>
    </w:p>
    <w:p>
      <w:pPr>
        <w:ind w:left="120" w:right="60"/>
        <w:spacing w:after="0" w:line="262"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81"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experienced ownership changes in the past, and we may experience ownership changes in the future as a result of this offering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81" w:lineRule="exact"/>
        <w:rPr>
          <w:sz w:val="20"/>
          <w:szCs w:val="20"/>
          <w:color w:val="auto"/>
        </w:rPr>
      </w:pPr>
    </w:p>
    <w:p>
      <w:pPr>
        <w:ind w:left="120" w:right="240"/>
        <w:spacing w:after="0" w:line="262"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8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3" w:lineRule="exact"/>
        <w:rPr>
          <w:sz w:val="20"/>
          <w:szCs w:val="20"/>
          <w:color w:val="auto"/>
        </w:rPr>
      </w:pPr>
    </w:p>
    <w:p>
      <w:pPr>
        <w:ind w:left="120" w:right="200"/>
        <w:spacing w:after="0" w:line="262"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reports about our business or if they publish negative evaluations of our stock, the price of our stock could decline.</w:t>
      </w:r>
    </w:p>
    <w:p>
      <w:pPr>
        <w:spacing w:after="0" w:line="81"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few analysts publish research or reports about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55" w:lineRule="exact"/>
        <w:rPr>
          <w:sz w:val="20"/>
          <w:szCs w:val="20"/>
          <w:color w:val="auto"/>
        </w:rPr>
      </w:pPr>
    </w:p>
    <w:p>
      <w:pPr>
        <w:jc w:val="both"/>
        <w:ind w:left="120" w:right="620"/>
        <w:spacing w:after="0" w:line="24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beginning with the annual report for our fiscal year ending December 31, 2020.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0" w:lineRule="exact"/>
        <w:rPr>
          <w:sz w:val="20"/>
          <w:szCs w:val="20"/>
          <w:color w:val="auto"/>
        </w:rPr>
      </w:pPr>
    </w:p>
    <w:p>
      <w:pPr>
        <w:ind w:left="120" w:right="76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81" w:lineRule="exact"/>
        <w:rPr>
          <w:sz w:val="20"/>
          <w:szCs w:val="20"/>
          <w:color w:val="auto"/>
        </w:rPr>
      </w:pPr>
    </w:p>
    <w:p>
      <w:pPr>
        <w:jc w:val="both"/>
        <w:ind w:left="120" w:right="500"/>
        <w:spacing w:after="0" w:line="29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68" w:lineRule="exact"/>
        <w:rPr>
          <w:sz w:val="20"/>
          <w:szCs w:val="20"/>
          <w:color w:val="auto"/>
        </w:rPr>
      </w:pPr>
    </w:p>
    <w:p>
      <w:pPr>
        <w:ind w:left="340" w:right="8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340" w:right="400" w:hanging="224"/>
        <w:spacing w:after="0" w:line="299"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8" w:lineRule="exact"/>
        <w:rPr>
          <w:rFonts w:ascii="Arial" w:cs="Arial" w:eastAsia="Arial" w:hAnsi="Arial"/>
          <w:sz w:val="16"/>
          <w:szCs w:val="16"/>
          <w:color w:val="auto"/>
        </w:rPr>
      </w:pPr>
    </w:p>
    <w:p>
      <w:pPr>
        <w:ind w:left="340" w:right="360" w:hanging="224"/>
        <w:spacing w:after="0" w:line="23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13"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4" w:lineRule="exact"/>
        <w:rPr>
          <w:rFonts w:ascii="Arial" w:cs="Arial" w:eastAsia="Arial" w:hAnsi="Arial"/>
          <w:sz w:val="18"/>
          <w:szCs w:val="18"/>
          <w:color w:val="auto"/>
        </w:rPr>
      </w:pPr>
    </w:p>
    <w:p>
      <w:pPr>
        <w:jc w:val="both"/>
        <w:ind w:left="340" w:right="340" w:hanging="224"/>
        <w:spacing w:after="0" w:line="23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ind w:left="340" w:right="200" w:hanging="224"/>
        <w:spacing w:after="0" w:line="238"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00"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spacing w:after="0" w:line="299" w:lineRule="auto"/>
        <w:rPr>
          <w:sz w:val="20"/>
          <w:szCs w:val="20"/>
          <w:color w:val="auto"/>
        </w:rPr>
      </w:pPr>
      <w:r>
        <w:rPr>
          <w:rFonts w:ascii="Arial" w:cs="Arial" w:eastAsia="Arial" w:hAnsi="Arial"/>
          <w:sz w:val="16"/>
          <w:szCs w:val="16"/>
          <w:color w:val="auto"/>
        </w:rPr>
        <w:t>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35" w:lineRule="exact"/>
        <w:rPr>
          <w:sz w:val="20"/>
          <w:szCs w:val="20"/>
          <w:color w:val="auto"/>
        </w:rPr>
      </w:pPr>
    </w:p>
    <w:p>
      <w:pPr>
        <w:ind w:left="120" w:right="420"/>
        <w:spacing w:after="0" w:line="262"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01"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14" w:lineRule="exact"/>
        <w:rPr>
          <w:sz w:val="20"/>
          <w:szCs w:val="20"/>
          <w:color w:val="auto"/>
        </w:rPr>
      </w:pPr>
    </w:p>
    <w:p>
      <w:pPr>
        <w:ind w:left="340" w:hanging="224"/>
        <w:spacing w:after="0" w:line="23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ind w:left="340" w:right="420" w:hanging="224"/>
        <w:spacing w:after="0" w:line="23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3" w:lineRule="exact"/>
        <w:rPr>
          <w:rFonts w:ascii="Arial" w:cs="Arial" w:eastAsia="Arial" w:hAnsi="Arial"/>
          <w:sz w:val="18"/>
          <w:szCs w:val="18"/>
          <w:color w:val="auto"/>
        </w:rPr>
      </w:pPr>
    </w:p>
    <w:p>
      <w:pPr>
        <w:ind w:left="340" w:right="20" w:hanging="224"/>
        <w:spacing w:after="0" w:line="238"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13"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4" w:lineRule="exact"/>
        <w:rPr>
          <w:rFonts w:ascii="Arial" w:cs="Arial" w:eastAsia="Arial" w:hAnsi="Arial"/>
          <w:sz w:val="18"/>
          <w:szCs w:val="18"/>
          <w:color w:val="auto"/>
        </w:rPr>
      </w:pPr>
    </w:p>
    <w:p>
      <w:pPr>
        <w:ind w:left="340" w:right="80" w:hanging="224"/>
        <w:spacing w:after="0" w:line="23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81" w:lineRule="exact"/>
        <w:rPr>
          <w:sz w:val="20"/>
          <w:szCs w:val="20"/>
          <w:color w:val="auto"/>
        </w:rPr>
      </w:pPr>
    </w:p>
    <w:p>
      <w:pPr>
        <w:ind w:left="120" w:right="50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ind w:left="120" w:right="140"/>
        <w:spacing w:after="0" w:line="269"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81" w:lineRule="auto"/>
        <w:rPr>
          <w:sz w:val="20"/>
          <w:szCs w:val="20"/>
          <w:color w:val="auto"/>
        </w:rPr>
      </w:pPr>
      <w:r>
        <w:rPr>
          <w:rFonts w:ascii="Arial" w:cs="Arial" w:eastAsia="Arial" w:hAnsi="Arial"/>
          <w:sz w:val="16"/>
          <w:szCs w:val="16"/>
          <w:color w:val="auto"/>
        </w:rPr>
        <w:t>action for lack of subject matter jurisdiction, such action may be brought in another state or federal court sitting in the State of Delaware. Nothing in our amended and restated certificate of incorporation or amended and restated bylaws preclude stockholders that assert claims under the Securities Act or the Exchange Act from bringing such claims in state or federal court, subject to applicable law.</w:t>
      </w:r>
    </w:p>
    <w:p>
      <w:pPr>
        <w:spacing w:after="0" w:line="6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13" w:lineRule="exact"/>
        <w:rPr>
          <w:sz w:val="20"/>
          <w:szCs w:val="20"/>
          <w:color w:val="auto"/>
        </w:rPr>
      </w:pPr>
    </w:p>
    <w:p>
      <w:pPr>
        <w:ind w:left="340" w:right="60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RMC-4630 Phase 1/2 clinical program;</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114" w:lineRule="exact"/>
        <w:rPr>
          <w:rFonts w:ascii="Arial" w:cs="Arial" w:eastAsia="Arial" w:hAnsi="Arial"/>
          <w:sz w:val="18"/>
          <w:szCs w:val="18"/>
          <w:color w:val="auto"/>
        </w:rPr>
      </w:pPr>
    </w:p>
    <w:p>
      <w:pPr>
        <w:ind w:left="340" w:right="34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 including clinical trials, manufacturing suppliers, collaborators, use of contract research organizations and employees;</w:t>
      </w:r>
    </w:p>
    <w:p>
      <w:pPr>
        <w:spacing w:after="0" w:line="114" w:lineRule="exact"/>
        <w:rPr>
          <w:rFonts w:ascii="Arial" w:cs="Arial" w:eastAsia="Arial" w:hAnsi="Arial"/>
          <w:sz w:val="18"/>
          <w:szCs w:val="18"/>
          <w:color w:val="auto"/>
        </w:rPr>
      </w:pPr>
    </w:p>
    <w:p>
      <w:pPr>
        <w:ind w:left="340" w:right="74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RMC-4630, our other product candidates and any future product candidates, if approved for commercial use;</w:t>
      </w:r>
    </w:p>
    <w:p>
      <w:pPr>
        <w:spacing w:after="0" w:line="114" w:lineRule="exact"/>
        <w:rPr>
          <w:rFonts w:ascii="Arial" w:cs="Arial" w:eastAsia="Arial" w:hAnsi="Arial"/>
          <w:sz w:val="18"/>
          <w:szCs w:val="18"/>
          <w:color w:val="auto"/>
        </w:rPr>
      </w:pPr>
    </w:p>
    <w:p>
      <w:pPr>
        <w:ind w:left="340" w:right="58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 including our collaboration with Sanofi;</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114"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114" w:lineRule="exact"/>
        <w:rPr>
          <w:rFonts w:ascii="Arial" w:cs="Arial" w:eastAsia="Arial" w:hAnsi="Arial"/>
          <w:sz w:val="18"/>
          <w:szCs w:val="18"/>
          <w:color w:val="auto"/>
        </w:rPr>
      </w:pPr>
    </w:p>
    <w:p>
      <w:pPr>
        <w:ind w:left="340" w:right="14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114" w:lineRule="exact"/>
        <w:rPr>
          <w:rFonts w:ascii="Arial" w:cs="Arial" w:eastAsia="Arial" w:hAnsi="Arial"/>
          <w:sz w:val="18"/>
          <w:szCs w:val="18"/>
          <w:color w:val="auto"/>
        </w:rPr>
      </w:pPr>
    </w:p>
    <w:p>
      <w:pPr>
        <w:ind w:left="340" w:right="480" w:hanging="224"/>
        <w:spacing w:after="0" w:line="23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4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product candidates;</w:t>
      </w:r>
    </w:p>
    <w:p>
      <w:pPr>
        <w:spacing w:after="0" w:line="140" w:lineRule="exact"/>
        <w:rPr>
          <w:rFonts w:ascii="Arial" w:cs="Arial" w:eastAsia="Arial" w:hAnsi="Arial"/>
          <w:sz w:val="16"/>
          <w:szCs w:val="16"/>
          <w:color w:val="auto"/>
        </w:rPr>
      </w:pPr>
    </w:p>
    <w:p>
      <w:pPr>
        <w:ind w:left="340" w:hanging="224"/>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use of proceeds from this offering; and</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and elsewhere and incorporated by reference in this prospectus</w:t>
      </w:r>
    </w:p>
    <w:p>
      <w:pPr>
        <w:spacing w:after="0" w:line="10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may turn out to be inaccurate. Factors that may cause actual results to differ materially from current expectations include, among other things, those listed under “Risk factors” and elsewhere and incorporated by reference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Market and industry data</w:t>
      </w:r>
    </w:p>
    <w:p>
      <w:pPr>
        <w:spacing w:after="0" w:line="15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This prospectus, including the information incorporated by reference herein,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6"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other information included or incorporated by reference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or in the documents incorporated by reference therein. These and other factors could cause results to differ materially from those expressed in the estimates made by the independent parties and by us.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left="120" w:right="40"/>
        <w:spacing w:after="0" w:line="271" w:lineRule="auto"/>
        <w:rPr>
          <w:sz w:val="20"/>
          <w:szCs w:val="20"/>
          <w:color w:val="auto"/>
        </w:rPr>
      </w:pPr>
      <w:r>
        <w:rPr>
          <w:rFonts w:ascii="Arial" w:cs="Arial" w:eastAsia="Arial" w:hAnsi="Arial"/>
          <w:sz w:val="16"/>
          <w:szCs w:val="16"/>
          <w:color w:val="auto"/>
        </w:rPr>
        <w:t>We estimate that the net proceeds from the sale of 5,500,000 shares of our common stock in this offering will be approximately $159.6 million at the assumed public offering price of $31.01 per share, the last reported sale price of our common stock on the Nasdaq Global Select Market on July 2, 2020, after deducting the underwriting discounts and commissions and estimated offering expenses payable by us. If the underwriters exercise their option to purchase additional shares in full, we estimate that the net proceeds will be approximately $183.7 million at the assumed public offering price of $31.01 per share, the last reported sale price of our common stock on the Nasdaq Global Select Market on July 2, 2020, after deducting the underwriting discounts and commissions and estimated offering expenses payable by us.</w:t>
      </w:r>
    </w:p>
    <w:p>
      <w:pPr>
        <w:spacing w:after="0" w:line="7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Each $1.00 increase (decrease) in the assumed public offering price of $31.01 per share, the last reported sale price of our common stock on the Nasdaq Global Select Market on July 2, 2020, would increase (decrease) the net proceeds to us from this offering, after deducting the underwriting discounts and commissions and estimated offering expenses payable by us, by approximately $5.2 million, assuming that the number of shares offered by us, as set forth on the cover page of this prospectus, remains the same. We may also increase or decrease the number of shares we are offering. Each increase (decrease) of 1,000,000 in the number of shares we are offering would increase (decrease) the net proceeds to us from this offering, after deducting the underwriting discounts and commissions and estimated offering expenses payable by us, by approximately $29.1 million, assuming the assumed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0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We currently expect to use our net proceeds from this offering, together with our existing cash, cash equivalents and marketable securities,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w:t>
      </w:r>
    </w:p>
    <w:p>
      <w:pPr>
        <w:spacing w:after="0" w:line="100"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Under our collaboration with Sanofi, Sanofi is responsible for reimbursing substantially all of our research costs and all of our development costs for the SHP2 program. We may also use a portion of the remaining net proceeds from this offering and our existing cash, cash equivalents and marketable securities to in-license, acquire or invest in complementary businesses, technologies, products or assets. However, we have no current commitments or obligations to do so.</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Due to the uncertainties inherent in the clinical development and regulatory approval process, it is difficult to estimate with certainty the exact amounts of the net proceeds from this offering that may be used for the above purposes. As such, our management will retain broad discretion over the use of the net proceeds from this offering. The amounts and timing of our expenditures may depend upon numerous factors, including: (i) continued research and development SHP2 program reimbursement by Sanofi under the Sanofi Agreement; (ii) the time and cost necessary to advance our product candidates through clinical trials and future clinical trials; (iii) the time and cost associated with our research and development activities for our pipeline; (iv) the time and cost associated with the manufacture and supply of product candidates for clinical development or commercialization; and (v) our ability to obtain regulatory approval for and subsequently commercialize our product candidates.</w:t>
      </w:r>
    </w:p>
    <w:p>
      <w:pPr>
        <w:spacing w:after="0" w:line="100"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We believe that the net proceeds from this offering, together with our existing cash, cash equivalents and marketable securities, will enable us to fund our operations for at least 12 months following the date of this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offering. After this offering, we will require substantial capital in order to advance our current and future product candidates through clinical trials, regulatory approval and, if approved, commercialization. For additional information regarding our potential capital requirements, see “Risk factors—Even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03"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1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20"/>
          </w:cols>
          <w:pgMar w:left="320" w:top="459" w:right="7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320" w:top="459" w:right="5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March 31, 2020:</w:t>
      </w:r>
    </w:p>
    <w:p>
      <w:pPr>
        <w:spacing w:after="0" w:line="117" w:lineRule="exact"/>
        <w:rPr>
          <w:sz w:val="20"/>
          <w:szCs w:val="20"/>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jc w:val="both"/>
        <w:ind w:left="340" w:right="80" w:hanging="224"/>
        <w:spacing w:after="0" w:line="238"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5,500,000 shares of common stock in this offering at the assumed public offering price of $31.01 per share, the last reported sale price of our common stock on the Nasdaq Global Select Market on July 2, 2020, after deducting the underwriting discounts and commissions and estimated offering expenses payable by us.</w:t>
      </w:r>
    </w:p>
    <w:p>
      <w:pPr>
        <w:spacing w:after="0" w:line="100"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consolidated financial statements and related notes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4"/>
          </w:tcPr>
          <w:p>
            <w:pPr>
              <w:jc w:val="right"/>
              <w:ind w:right="1372"/>
              <w:spacing w:after="0"/>
              <w:rPr>
                <w:sz w:val="20"/>
                <w:szCs w:val="20"/>
                <w:color w:val="auto"/>
              </w:rPr>
            </w:pPr>
            <w:r>
              <w:rPr>
                <w:rFonts w:ascii="Arial" w:cs="Arial" w:eastAsia="Arial" w:hAnsi="Arial"/>
                <w:sz w:val="18"/>
                <w:szCs w:val="18"/>
                <w:b w:val="1"/>
                <w:bCs w:val="1"/>
                <w:color w:val="auto"/>
                <w:w w:val="96"/>
              </w:rPr>
              <w:t>As of March 31, 2020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872"/>
              <w:spacing w:after="0"/>
              <w:rPr>
                <w:sz w:val="20"/>
                <w:szCs w:val="20"/>
                <w:color w:val="auto"/>
              </w:rPr>
            </w:pPr>
            <w:r>
              <w:rPr>
                <w:rFonts w:ascii="Arial" w:cs="Arial" w:eastAsia="Arial" w:hAnsi="Arial"/>
                <w:sz w:val="18"/>
                <w:szCs w:val="18"/>
                <w:b w:val="1"/>
                <w:bCs w:val="1"/>
                <w:color w:val="auto"/>
              </w:rPr>
              <w:t>Actual</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As Adjusted(1)</w:t>
            </w:r>
          </w:p>
        </w:tc>
        <w:tc>
          <w:tcPr>
            <w:tcW w:w="0" w:type="dxa"/>
            <w:vAlign w:val="bottom"/>
          </w:tcPr>
          <w:p>
            <w:pPr>
              <w:spacing w:after="0"/>
              <w:rPr>
                <w:sz w:val="1"/>
                <w:szCs w:val="1"/>
                <w:color w:val="auto"/>
              </w:rPr>
            </w:pPr>
          </w:p>
        </w:tc>
      </w:tr>
      <w:tr>
        <w:trPr>
          <w:trHeight w:val="196"/>
        </w:trPr>
        <w:tc>
          <w:tcPr>
            <w:tcW w:w="6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rPr>
              <w:t>(in thousands, except share and per share data)</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347,948</w:t>
            </w:r>
          </w:p>
        </w:tc>
        <w:tc>
          <w:tcPr>
            <w:tcW w:w="5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507,570</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2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$0.0001 par value per share; 300,000,000 shares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authorized, 59,003,644 shares issued and outstanding, actual;</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300,000,000 shares authorized, 64,503,644 shares issued and</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outstanding, as adjusted</w:t>
            </w:r>
          </w:p>
        </w:tc>
        <w:tc>
          <w:tcPr>
            <w:tcW w:w="2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12"/>
              <w:spacing w:after="0" w:line="200" w:lineRule="exact"/>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562,179</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721,801</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7"/>
                <w:szCs w:val="17"/>
                <w:color w:val="auto"/>
              </w:rPr>
            </w:pPr>
          </w:p>
        </w:tc>
        <w:tc>
          <w:tcPr>
            <w:tcW w:w="1680" w:type="dxa"/>
            <w:vAlign w:val="bottom"/>
            <w:gridSpan w:val="2"/>
          </w:tcPr>
          <w:p>
            <w:pPr>
              <w:jc w:val="right"/>
              <w:ind w:right="352"/>
              <w:spacing w:after="0" w:line="202" w:lineRule="exact"/>
              <w:rPr>
                <w:sz w:val="20"/>
                <w:szCs w:val="20"/>
                <w:color w:val="auto"/>
              </w:rPr>
            </w:pPr>
            <w:r>
              <w:rPr>
                <w:rFonts w:ascii="Arial" w:cs="Arial" w:eastAsia="Arial" w:hAnsi="Arial"/>
                <w:sz w:val="18"/>
                <w:szCs w:val="18"/>
                <w:color w:val="auto"/>
              </w:rPr>
              <w:t>(176,905)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(176,905)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385,316</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544,938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tcPr>
          <w:p>
            <w:pPr>
              <w:spacing w:after="0"/>
              <w:rPr>
                <w:sz w:val="20"/>
                <w:szCs w:val="20"/>
                <w:color w:val="auto"/>
              </w:rPr>
            </w:pPr>
            <w:r>
              <w:rPr>
                <w:rFonts w:ascii="Arial" w:cs="Arial" w:eastAsia="Arial" w:hAnsi="Arial"/>
                <w:sz w:val="18"/>
                <w:szCs w:val="18"/>
                <w:color w:val="auto"/>
              </w:rPr>
              <w:t>Total capitalization</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385,316</w:t>
            </w:r>
          </w:p>
        </w:tc>
        <w:tc>
          <w:tcPr>
            <w:tcW w:w="5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544,938</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40" w:right="60" w:hanging="324"/>
        <w:spacing w:after="0"/>
        <w:tabs>
          <w:tab w:leader="none" w:pos="4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 $1.00 increase (decrease) in the assumed public offering price of $31.01 per share, the last reported sale price of our common stock on the Nasdaq Global Select Market on July 2, 2020, would increase (decrease) the amount of each of cash, cash equivalents and marketable securities, additional paid-in capital, total stockholders’ equity and total capitalization by approximately $5.2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cash, cash equivalents and marketable securities, additional paid-in capital, total stockholders’ equity and total capitalization by approximately $29.1 million, assuming the assumed public offering price of $31.01 per share, the last reported sale price of our common stock on the Nasdaq Global Select Market on July 2, 2020, remains the same, and after deducting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outstanding share information in the table above excludes the following:</w:t>
      </w:r>
    </w:p>
    <w:p>
      <w:pPr>
        <w:spacing w:after="0" w:line="117" w:lineRule="exact"/>
        <w:rPr>
          <w:sz w:val="20"/>
          <w:szCs w:val="20"/>
          <w:color w:val="auto"/>
        </w:rPr>
      </w:pPr>
    </w:p>
    <w:p>
      <w:pPr>
        <w:ind w:left="340" w:right="50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5,568,324 shares of common stock issuable upon the exercise of outstanding stock options as of March 31, 2020 having a weighted-average exercise price of $5.29 per share;</w:t>
      </w:r>
    </w:p>
    <w:p>
      <w:pPr>
        <w:spacing w:after="0" w:line="114"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170,252 shares of common stock issuable upon the exercise of stock options granted after March 31, 2020 having a weighted-average exercise price of $36.57 per share;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48,660 shares of common stock issuable upon the vesting of restricted stock units granted after March 31, 2020;</w:t>
      </w:r>
    </w:p>
    <w:p>
      <w:pPr>
        <w:spacing w:after="0" w:line="117" w:lineRule="exact"/>
        <w:rPr>
          <w:rFonts w:ascii="Arial" w:cs="Arial" w:eastAsia="Arial" w:hAnsi="Arial"/>
          <w:sz w:val="18"/>
          <w:szCs w:val="18"/>
          <w:color w:val="auto"/>
        </w:rPr>
      </w:pPr>
    </w:p>
    <w:p>
      <w:pPr>
        <w:ind w:left="340" w:right="18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5,110,075 shares of common stock reserved for issuance pursuant to future awards under our 2020 Incentive Award Plan, as well as any automatic increases in the number of shares of common stock reserved for future issuance under this plan; and</w:t>
      </w:r>
    </w:p>
    <w:p>
      <w:pPr>
        <w:spacing w:after="0" w:line="114" w:lineRule="exact"/>
        <w:rPr>
          <w:rFonts w:ascii="Arial" w:cs="Arial" w:eastAsia="Arial" w:hAnsi="Arial"/>
          <w:sz w:val="18"/>
          <w:szCs w:val="18"/>
          <w:color w:val="auto"/>
        </w:rPr>
      </w:pPr>
    </w:p>
    <w:p>
      <w:pPr>
        <w:ind w:left="340" w:right="740" w:hanging="224"/>
        <w:spacing w:after="0" w:line="239"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under our 2020 Employee Stock Purchase Plan, as well as any automatic increases in the number of shares of our common stock reserved for future issuance under this plan.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ind w:left="120" w:right="40"/>
        <w:spacing w:after="0" w:line="299" w:lineRule="auto"/>
        <w:rPr>
          <w:sz w:val="20"/>
          <w:szCs w:val="20"/>
          <w:color w:val="auto"/>
        </w:rPr>
      </w:pPr>
      <w:r>
        <w:rPr>
          <w:rFonts w:ascii="Arial" w:cs="Arial" w:eastAsia="Arial" w:hAnsi="Arial"/>
          <w:sz w:val="16"/>
          <w:szCs w:val="16"/>
          <w:color w:val="auto"/>
        </w:rPr>
        <w:t>If you invest in our common stock in this offering, your interest will be immediately diluted to the extent of the difference between the public offering price per share of our common stock in this offering and the net tangible book value per share of our common stock after this offering.</w:t>
      </w:r>
    </w:p>
    <w:p>
      <w:pPr>
        <w:spacing w:after="0" w:line="55"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As of March 31, 2020, we had a historical net tangible book value of $309.0 million, or $5.24 per share of common stock. Our net tangible book value represents total tangible assets less total liabilities, all divided by 59,003,644 shares of common stock outstanding on March 31, 2020.</w:t>
      </w:r>
    </w:p>
    <w:p>
      <w:pPr>
        <w:spacing w:after="0" w:line="100" w:lineRule="exact"/>
        <w:rPr>
          <w:sz w:val="20"/>
          <w:szCs w:val="20"/>
          <w:color w:val="auto"/>
        </w:rPr>
      </w:pPr>
    </w:p>
    <w:p>
      <w:pPr>
        <w:ind w:left="120" w:right="20"/>
        <w:spacing w:after="0" w:line="264" w:lineRule="auto"/>
        <w:rPr>
          <w:sz w:val="20"/>
          <w:szCs w:val="20"/>
          <w:color w:val="auto"/>
        </w:rPr>
      </w:pPr>
      <w:r>
        <w:rPr>
          <w:rFonts w:ascii="Arial" w:cs="Arial" w:eastAsia="Arial" w:hAnsi="Arial"/>
          <w:sz w:val="16"/>
          <w:szCs w:val="16"/>
          <w:color w:val="auto"/>
        </w:rPr>
        <w:t>After giving effect to the sale of 5,500,000 shares of common stock in this offering at an assumed public offering price of $31.01 per share, the last reported sale price of our common stock on the Nasdaq Global Select Market on July 2, 2020, and after deducting the underwriting discounts and commissions and estimated offering expenses payable by us, our as adjusted net tangible book value as of March 31, 2020 would have been $468.6 million, or $7.26 per share. This represents an immediate increase in as adjusted net tangible book value of</w:t>
      </w:r>
    </w:p>
    <w:p>
      <w:pPr>
        <w:ind w:left="120" w:right="20"/>
        <w:spacing w:after="0" w:line="239" w:lineRule="auto"/>
        <w:rPr>
          <w:sz w:val="20"/>
          <w:szCs w:val="20"/>
          <w:color w:val="auto"/>
        </w:rPr>
      </w:pPr>
      <w:r>
        <w:rPr>
          <w:rFonts w:ascii="Arial" w:cs="Arial" w:eastAsia="Arial" w:hAnsi="Arial"/>
          <w:sz w:val="18"/>
          <w:szCs w:val="18"/>
          <w:color w:val="auto"/>
        </w:rPr>
        <w:t>$2.02 per share to existing stockholders and an immediate dilution of $23.75 per share to new investors. The following table illustrates this per share dilution:</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14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31.01</w:t>
            </w:r>
          </w:p>
        </w:tc>
      </w:tr>
      <w:tr>
        <w:trPr>
          <w:trHeight w:val="203"/>
        </w:trPr>
        <w:tc>
          <w:tcPr>
            <w:tcW w:w="9060" w:type="dxa"/>
            <w:vAlign w:val="bottom"/>
          </w:tcPr>
          <w:p>
            <w:pPr>
              <w:ind w:left="220"/>
              <w:spacing w:after="0" w:line="202" w:lineRule="exact"/>
              <w:rPr>
                <w:sz w:val="20"/>
                <w:szCs w:val="20"/>
                <w:color w:val="auto"/>
              </w:rPr>
            </w:pPr>
            <w:r>
              <w:rPr>
                <w:rFonts w:ascii="Arial" w:cs="Arial" w:eastAsia="Arial" w:hAnsi="Arial"/>
                <w:sz w:val="18"/>
                <w:szCs w:val="18"/>
                <w:color w:val="auto"/>
              </w:rPr>
              <w:t>Historical net tangible book value per share as of March 31, 2020</w:t>
            </w:r>
          </w:p>
        </w:tc>
        <w:tc>
          <w:tcPr>
            <w:tcW w:w="134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$ 5.24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tc>
        <w:tc>
          <w:tcPr>
            <w:tcW w:w="5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0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5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18"/>
                <w:szCs w:val="18"/>
                <w:color w:val="auto"/>
              </w:rPr>
            </w:pP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4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3"/>
              </w:rPr>
              <w:t>23.75</w:t>
            </w:r>
          </w:p>
        </w:tc>
      </w:tr>
      <w:tr>
        <w:trPr>
          <w:trHeight w:val="20"/>
        </w:trPr>
        <w:tc>
          <w:tcPr>
            <w:tcW w:w="9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Each $1.00 increase (decrease) in the assumed public offering price of $31.01 per share, the last reported sale price of our common stock on the Nasdaq Global Select Market on July 2, 2020, would increase (decrease) our as adjusted net tangible book value as of March 31, 2020 after this offering by approximately $5.2 million, or approximately $0.08 per share, and would increase (decrease) dilution to investors in this offering by approximately $0.92 per share, assuming that the number of shares offered by us, as set forth on the cover page of this prospectus, remains the same, after deducting the underwriting discounts and commissions and estimated offering expenses payable by us. We may also increase or decrease the number of shares we are offering. Assuming the assumed public price of $31.01 per share, the last reported sale price of our common stock on the Nasdaq Global Select Market on July 2, 2020, remains the same, after deducting the underwriting discounts and commissions and estimated offering expenses payable by us, each increase of 1,000,000 in the number of shares we are offering would increase our as adjusted net tangible book value as of March 31, 2020 after this offering by approximately $29.1 million, or approximately $0.33 per share, and would decrease dilution to investors in this offering by approximately $0.33 per share, and a decrease of 1,000,000 in the number of shares we are offering would decrease our as adjusted net tangible book value as of March 31, 2020 after this offering by approximately $29.1 million, or approximately $0.34 per share, and would increase dilution to investors in this offering by approximately $0.34 per share. The as adjusted information is illustrative only, and we will adjust this information based on the actual public offering price and other terms of this offering determined at pricing.</w:t>
      </w:r>
    </w:p>
    <w:p>
      <w:pPr>
        <w:spacing w:after="0" w:line="106"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If the underwriters exercise in full their option to purchase additional shares, as adjusted net tangible book value after this offering would increase to $7.54 per share, and there would be an immediate dilution of $23.47 per share to new investors.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To the extent that outstanding options with an exercise price per share that is less than the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3" w:lineRule="exact"/>
        <w:rPr>
          <w:sz w:val="20"/>
          <w:szCs w:val="20"/>
          <w:color w:val="auto"/>
        </w:rPr>
      </w:pPr>
    </w:p>
    <w:p>
      <w:pPr>
        <w:ind w:left="120" w:right="560"/>
        <w:spacing w:after="0" w:line="239" w:lineRule="auto"/>
        <w:rPr>
          <w:sz w:val="20"/>
          <w:szCs w:val="20"/>
          <w:color w:val="auto"/>
        </w:rPr>
      </w:pPr>
      <w:r>
        <w:rPr>
          <w:rFonts w:ascii="Arial" w:cs="Arial" w:eastAsia="Arial" w:hAnsi="Arial"/>
          <w:sz w:val="18"/>
          <w:szCs w:val="18"/>
          <w:color w:val="auto"/>
        </w:rPr>
        <w:t>The foregoing tables and calculations above are based on 59,003,644 shares of common stock outstanding as of March 31, 2020 and exclude the following:</w:t>
      </w:r>
    </w:p>
    <w:p>
      <w:pPr>
        <w:spacing w:after="0" w:line="114" w:lineRule="exact"/>
        <w:rPr>
          <w:sz w:val="20"/>
          <w:szCs w:val="20"/>
          <w:color w:val="auto"/>
        </w:rPr>
      </w:pPr>
    </w:p>
    <w:p>
      <w:pPr>
        <w:ind w:left="340" w:right="42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5,568,324 shares of common stock issuable upon the exercise of outstanding stock options as of March 31, 2020 having a weighted-average exercise price of $5.29 per share;</w:t>
      </w:r>
    </w:p>
    <w:p>
      <w:pPr>
        <w:spacing w:after="0" w:line="235" w:lineRule="exact"/>
        <w:rPr>
          <w:rFonts w:ascii="Arial" w:cs="Arial" w:eastAsia="Arial" w:hAnsi="Arial"/>
          <w:sz w:val="18"/>
          <w:szCs w:val="18"/>
          <w:color w:val="auto"/>
        </w:rPr>
      </w:pPr>
    </w:p>
    <w:p>
      <w:pPr>
        <w:ind w:left="340" w:right="28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170,252 shares of common stock issuable upon the exercise of stock options granted after March 31, 2020 having a weighted-average exercise price of $36.57 per share;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48,660 shares of common stock issuable upon the vesting of restricted stock units granted after March 31, 2020;</w:t>
      </w:r>
    </w:p>
    <w:p>
      <w:pPr>
        <w:spacing w:after="0" w:line="117" w:lineRule="exact"/>
        <w:rPr>
          <w:rFonts w:ascii="Arial" w:cs="Arial" w:eastAsia="Arial" w:hAnsi="Arial"/>
          <w:sz w:val="18"/>
          <w:szCs w:val="18"/>
          <w:color w:val="auto"/>
        </w:rPr>
      </w:pPr>
    </w:p>
    <w:p>
      <w:pPr>
        <w:ind w:left="340" w:right="10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5,110,075 shares of common stock reserved for issuance pursuant to future awards under our 2020 Incentive Award Plan, as well as any automatic increases in the number of shares of common stock reserved for future issuance under this plan; and</w:t>
      </w:r>
    </w:p>
    <w:p>
      <w:pPr>
        <w:spacing w:after="0" w:line="114" w:lineRule="exact"/>
        <w:rPr>
          <w:rFonts w:ascii="Arial" w:cs="Arial" w:eastAsia="Arial" w:hAnsi="Arial"/>
          <w:sz w:val="18"/>
          <w:szCs w:val="18"/>
          <w:color w:val="auto"/>
        </w:rPr>
      </w:pPr>
    </w:p>
    <w:p>
      <w:pPr>
        <w:ind w:left="340" w:right="660" w:hanging="224"/>
        <w:spacing w:after="0" w:line="239"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under our 2020 Employee Stock Purchase Plan, as well as any automatic increases in the number of shares of our common stock reserved for future issuance under this plan.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are a clinical-stage precision oncology company focused on developing novel targeted therapies to inhibit elusive, high-value frontier targets within notorious growth and survival pathways, with particular emphasis on the RAS and mTOR signaling pathways. We define frontier targets as proteins that play an important role in cancer and for which there is either: (1) no approved drug that directly inhibits it, or (2) one or more approved drugs that directly inhibit it but through a mechanism of action that may not enable suppression of the full range of its biologic contributions to cancer.</w:t>
      </w:r>
    </w:p>
    <w:p>
      <w:pPr>
        <w:spacing w:after="0" w:line="10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SHP2 is a central node in the RAS signaling pathway. In collaboration with Sanofi, we are evaluating RMC-4630 in a multi-cohort Phase 1/2 clinical program.</w:t>
      </w:r>
    </w:p>
    <w:p>
      <w:pPr>
        <w:spacing w:after="0" w:line="102" w:lineRule="exact"/>
        <w:rPr>
          <w:sz w:val="20"/>
          <w:szCs w:val="20"/>
          <w:color w:val="auto"/>
        </w:rPr>
      </w:pPr>
    </w:p>
    <w:p>
      <w:pPr>
        <w:ind w:left="120" w:right="240"/>
        <w:spacing w:after="0" w:line="272" w:lineRule="auto"/>
        <w:rPr>
          <w:sz w:val="20"/>
          <w:szCs w:val="20"/>
          <w:color w:val="auto"/>
        </w:rPr>
      </w:pPr>
      <w:r>
        <w:rPr>
          <w:rFonts w:ascii="Arial" w:cs="Arial" w:eastAsia="Arial" w:hAnsi="Arial"/>
          <w:sz w:val="16"/>
          <w:szCs w:val="16"/>
          <w:color w:val="auto"/>
        </w:rPr>
        <w:t>This RMC-4630 Phase 1/2 program currently consists of four active clinical trials: RMC-4630-01, a Phase 1 study of RMC-4630 as a single agent, and RMC-4630-02, a Phase 1b/2 study of RMC-4630 in combination with the MEK inhibitor cobimetinib (Cotellic), an Amgen sponsored Phase 1b study of RMC-4630 in combination with Amgen’s KRAS</w:t>
      </w:r>
      <w:r>
        <w:rPr>
          <w:rFonts w:ascii="Arial" w:cs="Arial" w:eastAsia="Arial" w:hAnsi="Arial"/>
          <w:sz w:val="10"/>
          <w:szCs w:val="10"/>
          <w:color w:val="auto"/>
        </w:rPr>
        <w:t>G12C</w:t>
      </w:r>
      <w:r>
        <w:rPr>
          <w:rFonts w:ascii="Arial" w:cs="Arial" w:eastAsia="Arial" w:hAnsi="Arial"/>
          <w:sz w:val="16"/>
          <w:szCs w:val="16"/>
          <w:color w:val="auto"/>
        </w:rPr>
        <w:t>(OFF) inhibitor, AMG 510 or sotorasib, and a Sanofi sponsored Phase 1 study of RMC-4630 in combination with the PD-1 inhibitor pembrolizumab (Keytruda). In this prospectus, we include preliminary data from 87 patients who had enrolled in our Phase 1 study and received RMC-4630 as a monotherapy as of May 4, 2020.</w:t>
      </w:r>
    </w:p>
    <w:p>
      <w:pPr>
        <w:spacing w:after="0" w:line="78"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Clinical data from the first eight patients enrolled in our Phase 1b/2 combination study with cobimetinib and treated as of November 14, 2019 are provided. Enrollment has continued in additional dose cohorts in this ongoing study.</w:t>
      </w:r>
    </w:p>
    <w:p>
      <w:pPr>
        <w:spacing w:after="0" w:line="101"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Amgen is evaluating RMC-4630 in combination with the investigational KRAS</w:t>
      </w:r>
      <w:r>
        <w:rPr>
          <w:rFonts w:ascii="Arial" w:cs="Arial" w:eastAsia="Arial" w:hAnsi="Arial"/>
          <w:sz w:val="11"/>
          <w:szCs w:val="11"/>
          <w:color w:val="auto"/>
        </w:rPr>
        <w:t>G12C</w:t>
      </w:r>
      <w:r>
        <w:rPr>
          <w:rFonts w:ascii="Arial" w:cs="Arial" w:eastAsia="Arial" w:hAnsi="Arial"/>
          <w:sz w:val="18"/>
          <w:szCs w:val="18"/>
          <w:color w:val="auto"/>
        </w:rPr>
        <w:t>(OFF) inhibitor sotorasib in patients with advanced cancers with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Sanofi is evaluating RMC-4630 in combination with the PD-1 inhibitor pembrolizumab in patients with advanced malignancies, including patients with NSCLC who have progressed on or after platinum-based chemotherapy, and patients with colorectal cancer who have progressed on standard of care. Based on our own data, and supported by observations by others, we are evaluating intermittent dosing schedules in our clinical program to allow us to maximize dose intensity in order to achieve the greatest depth of response.</w:t>
      </w:r>
    </w:p>
    <w:p>
      <w:pPr>
        <w:spacing w:after="0" w:line="106"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We also plan to explore the potential clinical benefit of RMC-4630 in combination with other in-pathway agents such as osimertinib (a third-generation inhibitor of epidermal growth factor receptor, or EGFR), KRAS</w:t>
      </w:r>
      <w:r>
        <w:rPr>
          <w:rFonts w:ascii="Arial" w:cs="Arial" w:eastAsia="Arial" w:hAnsi="Arial"/>
          <w:sz w:val="11"/>
          <w:szCs w:val="11"/>
          <w:color w:val="auto"/>
        </w:rPr>
        <w:t>G12C</w:t>
      </w:r>
      <w:r>
        <w:rPr>
          <w:rFonts w:ascii="Arial" w:cs="Arial" w:eastAsia="Arial" w:hAnsi="Arial"/>
          <w:sz w:val="18"/>
          <w:szCs w:val="18"/>
          <w:color w:val="auto"/>
        </w:rPr>
        <w:t xml:space="preserve"> inhibitors, and an ERK inhibitor as well as in combination with a PD-1 inhibitor. Sanofi, our SHP2 collaboration partner, will conduct the planned Phase 1 study evaluating RMC-4630 in combination with a PD-1 inhibitor.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In March 2020, the Pancreatic Cancer Collective (a strategic partnership between Lustgarten Foundation and Stand Up To Cancer) announced that it had awarded funding to the Netherlands Cancer Institute, or the NKI, for its study using our SHP2 inhibitor, RMC-4630 in combination with an investigational ERK inhibitor (LY3214996) in patients with pancreatic cancer. We plan to provide RMC-4630 to support this investigator sponsored study.</w:t>
      </w:r>
    </w:p>
    <w:p>
      <w:pPr>
        <w:spacing w:after="0" w:line="10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103" w:lineRule="exact"/>
        <w:rPr>
          <w:sz w:val="20"/>
          <w:szCs w:val="20"/>
          <w:color w:val="auto"/>
        </w:rPr>
      </w:pPr>
    </w:p>
    <w:p>
      <w:pPr>
        <w:ind w:left="120" w:right="60"/>
        <w:spacing w:after="0" w:line="235"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06"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We have two preclinical programs targeting other key nodes in the RAS and mTOR signaling pathways. Our program targeting SOS1, a protein that plays a key role in converting RAS(OFF) to RAS(ON) in cells, is currently in lead optimization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mTORC1-selective inhibitors from our proprietary series, including RMC-5552, have recently been shown to have combinatorial activity with KRAS</w:t>
      </w:r>
      <w:r>
        <w:rPr>
          <w:rFonts w:ascii="Arial" w:cs="Arial" w:eastAsia="Arial" w:hAnsi="Arial"/>
          <w:sz w:val="10"/>
          <w:szCs w:val="10"/>
          <w:color w:val="auto"/>
        </w:rPr>
        <w:t>G12C</w:t>
      </w:r>
      <w:r>
        <w:rPr>
          <w:rFonts w:ascii="Arial" w:cs="Arial" w:eastAsia="Arial" w:hAnsi="Arial"/>
          <w:sz w:val="16"/>
          <w:szCs w:val="16"/>
          <w:color w:val="auto"/>
        </w:rPr>
        <w:t xml:space="preserve"> inhibitors in preclinical models of KRAS</w:t>
      </w:r>
      <w:r>
        <w:rPr>
          <w:rFonts w:ascii="Arial" w:cs="Arial" w:eastAsia="Arial" w:hAnsi="Arial"/>
          <w:sz w:val="10"/>
          <w:szCs w:val="10"/>
          <w:color w:val="auto"/>
        </w:rPr>
        <w:t>G12C</w:t>
      </w:r>
      <w:r>
        <w:rPr>
          <w:rFonts w:ascii="Arial" w:cs="Arial" w:eastAsia="Arial" w:hAnsi="Arial"/>
          <w:sz w:val="16"/>
          <w:szCs w:val="16"/>
          <w:color w:val="auto"/>
        </w:rPr>
        <w:t xml:space="preserve"> lung and colon cancer, suggesting that RMC-5552 is a meaningful and rational addition to our portfolio of RAS pathway inhibitors. We advanced RMC-5552 into IND-enabling development in June 2019.</w:t>
      </w:r>
    </w:p>
    <w:p>
      <w:pPr>
        <w:spacing w:after="0" w:line="82"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w:t>
      </w:r>
    </w:p>
    <w:p>
      <w:pPr>
        <w:spacing w:after="0" w:line="82"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1"/>
          <w:szCs w:val="11"/>
          <w:color w:val="auto"/>
        </w:rPr>
        <w:t>G12C</w:t>
      </w:r>
      <w:r>
        <w:rPr>
          <w:rFonts w:ascii="Arial" w:cs="Arial" w:eastAsia="Arial" w:hAnsi="Arial"/>
          <w:sz w:val="18"/>
          <w:szCs w:val="18"/>
          <w:color w:val="auto"/>
        </w:rPr>
        <w:t>(OFF) inhibitor.</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goal is to develop novel targeted therapies to outsmart cancer for the benefit of patients. We plan to pursue the following strategies:</w:t>
      </w:r>
    </w:p>
    <w:p>
      <w:pPr>
        <w:spacing w:after="0" w:line="97" w:lineRule="exact"/>
        <w:rPr>
          <w:sz w:val="20"/>
          <w:szCs w:val="20"/>
          <w:color w:val="auto"/>
        </w:rPr>
      </w:pPr>
    </w:p>
    <w:p>
      <w:pPr>
        <w:ind w:left="3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Deploy our innovation engine against frontier oncology targets. </w:t>
      </w:r>
      <w:r>
        <w:rPr>
          <w:rFonts w:ascii="Arial" w:cs="Arial" w:eastAsia="Arial" w:hAnsi="Arial"/>
          <w:sz w:val="18"/>
          <w:szCs w:val="18"/>
          <w:color w:val="auto"/>
        </w:rPr>
        <w:t>We use our chemical biology and cancer pharmacology know-how,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structure-based drug discovery capabilities, and precision medicine approach to discover and develop compounds designed to overcome the complex molecular circuitry of cancer. We focus on a cohesive set of genetically 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94" w:lineRule="exact"/>
        <w:rPr>
          <w:rFonts w:ascii="Arial" w:cs="Arial" w:eastAsia="Arial" w:hAnsi="Arial"/>
          <w:sz w:val="18"/>
          <w:szCs w:val="18"/>
          <w:color w:val="auto"/>
        </w:rPr>
      </w:pPr>
    </w:p>
    <w:p>
      <w:pPr>
        <w:ind w:left="340" w:hanging="224"/>
        <w:spacing w:after="0" w:line="238"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8"/>
          <w:szCs w:val="18"/>
          <w:color w:val="auto"/>
        </w:rPr>
        <w:t>As SHP2 is a convergent node within the oncogenic RAS-signaling pathway, we plan to evaluate RMC-4630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with other in-pathway agents targeting RTK (initially EGFR), and KRAS</w:t>
      </w:r>
      <w:r>
        <w:rPr>
          <w:rFonts w:ascii="Arial" w:cs="Arial" w:eastAsia="Arial" w:hAnsi="Arial"/>
          <w:sz w:val="11"/>
          <w:szCs w:val="11"/>
          <w:color w:val="auto"/>
        </w:rPr>
        <w:t>G12C</w:t>
      </w:r>
      <w:r>
        <w:rPr>
          <w:rFonts w:ascii="Arial" w:cs="Arial" w:eastAsia="Arial" w:hAnsi="Arial"/>
          <w:sz w:val="18"/>
          <w:szCs w:val="18"/>
          <w:color w:val="auto"/>
        </w:rPr>
        <w:t>. We have initiated a Phase 1b/2 trial of RMC-4630 with cobimetinib (a MEK inhibitor) and we plan to evaluate RMC-4630 in combination with osimertinib (an EGFR inhibitor). A Phase 1b study of RMC-4630 in combination with sotorasib, a KRAS</w:t>
      </w:r>
      <w:r>
        <w:rPr>
          <w:rFonts w:ascii="Arial" w:cs="Arial" w:eastAsia="Arial" w:hAnsi="Arial"/>
          <w:sz w:val="11"/>
          <w:szCs w:val="11"/>
          <w:color w:val="auto"/>
        </w:rPr>
        <w:t>G12C</w:t>
      </w:r>
      <w:r>
        <w:rPr>
          <w:rFonts w:ascii="Arial" w:cs="Arial" w:eastAsia="Arial" w:hAnsi="Arial"/>
          <w:sz w:val="18"/>
          <w:szCs w:val="18"/>
          <w:color w:val="auto"/>
        </w:rPr>
        <w:t>(OFF) inhibitor is being conducted by Amgen, and we expect to subsequently study RMC-4630 in combination with our proprietary KRAS</w:t>
      </w:r>
      <w:r>
        <w:rPr>
          <w:rFonts w:ascii="Arial" w:cs="Arial" w:eastAsia="Arial" w:hAnsi="Arial"/>
          <w:sz w:val="11"/>
          <w:szCs w:val="11"/>
          <w:color w:val="auto"/>
        </w:rPr>
        <w:t>G12C</w:t>
      </w:r>
      <w:r>
        <w:rPr>
          <w:rFonts w:ascii="Arial" w:cs="Arial" w:eastAsia="Arial" w:hAnsi="Arial"/>
          <w:sz w:val="18"/>
          <w:szCs w:val="18"/>
          <w:color w:val="auto"/>
        </w:rPr>
        <w:t>(ON) inhibitor once a clinical candidate has been selected for development. In March 2020, the NKI announced its intention to sponsor the SHERPA (SHP2 and ERK inhibitors in Pancreatic Cancer) study using our SHP2 inhibitor, RMC-4630. As many patients with tumors carrying mutations that are potentially SHP2-dependent are currently treated with immune checkpoint inhibitors, we are studying RMC-4630 in combination with pembrolizumab in a Phase 1 study sponsored by Sanofi.</w:t>
      </w:r>
    </w:p>
    <w:p>
      <w:pPr>
        <w:spacing w:after="0" w:line="93" w:lineRule="exact"/>
        <w:rPr>
          <w:rFonts w:ascii="Arial" w:cs="Arial" w:eastAsia="Arial" w:hAnsi="Arial"/>
          <w:sz w:val="18"/>
          <w:szCs w:val="18"/>
          <w:color w:val="auto"/>
        </w:rPr>
      </w:pPr>
    </w:p>
    <w:p>
      <w:pPr>
        <w:ind w:left="340" w:hanging="224"/>
        <w:spacing w:after="0" w:line="274" w:lineRule="auto"/>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Pioneer mutant selective RAS(ON) inhibition across multiple genetically defined cancers. </w:t>
      </w:r>
      <w:r>
        <w:rPr>
          <w:rFonts w:ascii="Arial" w:cs="Arial" w:eastAsia="Arial" w:hAnsi="Arial"/>
          <w:sz w:val="16"/>
          <w:szCs w:val="16"/>
          <w:color w:val="auto"/>
        </w:rPr>
        <w:t>There are dozens of RAS mutants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implicated as molecular drivers of cancer. We are developing a pipeline of small molecules targeting multiple oncogenic forms of RAS(ON) that are derived from our proprietary tri-complex technology platform. Initially, we will prioritize four mutant RAS(ON) targets— 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68" w:lineRule="exact"/>
        <w:rPr>
          <w:rFonts w:ascii="Arial" w:cs="Arial" w:eastAsia="Arial" w:hAnsi="Arial"/>
          <w:sz w:val="16"/>
          <w:szCs w:val="16"/>
          <w:color w:val="auto"/>
        </w:rPr>
      </w:pPr>
    </w:p>
    <w:p>
      <w:pPr>
        <w:ind w:left="340" w:right="40" w:hanging="224"/>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global value of our programs by continuing to execute synergistic and value-creating transactions. </w:t>
      </w:r>
      <w:r>
        <w:rPr>
          <w:rFonts w:ascii="Arial" w:cs="Arial" w:eastAsia="Arial" w:hAnsi="Arial"/>
          <w:sz w:val="18"/>
          <w:szCs w:val="18"/>
          <w:color w:val="auto"/>
        </w:rPr>
        <w:t>We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92" w:lineRule="exact"/>
        <w:rPr>
          <w:rFonts w:ascii="Arial" w:cs="Arial" w:eastAsia="Arial" w:hAnsi="Arial"/>
          <w:sz w:val="18"/>
          <w:szCs w:val="18"/>
          <w:color w:val="auto"/>
        </w:rPr>
      </w:pPr>
    </w:p>
    <w:p>
      <w:pPr>
        <w:ind w:left="340" w:right="140" w:hanging="224"/>
        <w:spacing w:after="0" w:line="249"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our culture of tireless commitment to 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grow our business, we will continue to apply transformative science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development of novel targeted therapies for patients suffering from cancers with limited therapeutic options. To accomplish this, we intend to continue building our team of qualified</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240"/>
        <w:spacing w:after="0" w:line="239" w:lineRule="auto"/>
        <w:rPr>
          <w:sz w:val="20"/>
          <w:szCs w:val="20"/>
          <w:color w:val="auto"/>
        </w:rPr>
      </w:pPr>
      <w:r>
        <w:rPr>
          <w:rFonts w:ascii="Arial" w:cs="Arial" w:eastAsia="Arial" w:hAnsi="Arial"/>
          <w:sz w:val="18"/>
          <w:szCs w:val="18"/>
          <w:color w:val="auto"/>
        </w:rPr>
        <w:t>individuals who share our commitment to collaboration and scientific rigor in the development of novel therapies to outsmart cancer and improve the lives of patients.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Our opportunity: unmet needs in cancers with driver mutations in notorious growth and survival pathways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70485</wp:posOffset>
            </wp:positionV>
            <wp:extent cx="4714875" cy="3454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1487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120" w:right="240"/>
        <w:spacing w:after="0" w:line="299" w:lineRule="auto"/>
        <w:rPr>
          <w:sz w:val="20"/>
          <w:szCs w:val="20"/>
          <w:color w:val="auto"/>
        </w:rPr>
      </w:pPr>
      <w:r>
        <w:rPr>
          <w:rFonts w:ascii="Arial" w:cs="Arial" w:eastAsia="Arial" w:hAnsi="Arial"/>
          <w:sz w:val="16"/>
          <w:szCs w:val="16"/>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SHP2</w:t>
      </w:r>
    </w:p>
    <w:p>
      <w:pPr>
        <w:spacing w:after="0" w:line="12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 cells. Some mutant forms of RAS, such as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G12A</w:t>
      </w:r>
      <w:r>
        <w:rPr>
          <w:rFonts w:ascii="Arial" w:cs="Arial" w:eastAsia="Arial" w:hAnsi="Arial"/>
          <w:sz w:val="18"/>
          <w:szCs w:val="18"/>
          <w:color w:val="auto"/>
        </w:rPr>
        <w:t>, exert their oncogenic effects by amplifying or exaggerating normal RTK-mediated growth signals transmitted via SHP2, and as a result they can be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1"/>
          <w:szCs w:val="11"/>
          <w:color w:val="auto"/>
        </w:rPr>
        <w:t>LOF</w:t>
      </w:r>
      <w:r>
        <w:rPr>
          <w:rFonts w:ascii="Arial" w:cs="Arial" w:eastAsia="Arial" w:hAnsi="Arial"/>
          <w:sz w:val="18"/>
          <w:szCs w:val="18"/>
          <w:color w:val="auto"/>
        </w:rPr>
        <w:t>), and class 3 mutations in the downstream effector BRAF (BRAF</w:t>
      </w:r>
      <w:r>
        <w:rPr>
          <w:rFonts w:ascii="Arial" w:cs="Arial" w:eastAsia="Arial" w:hAnsi="Arial"/>
          <w:sz w:val="11"/>
          <w:szCs w:val="11"/>
          <w:color w:val="auto"/>
        </w:rPr>
        <w:t>Class3</w:t>
      </w:r>
      <w:r>
        <w:rPr>
          <w:rFonts w:ascii="Arial" w:cs="Arial" w:eastAsia="Arial" w:hAnsi="Arial"/>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RAS</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1"/>
          <w:szCs w:val="11"/>
          <w:color w:val="auto"/>
        </w:rPr>
        <w:t>G12C</w:t>
      </w:r>
      <w:r>
        <w:rPr>
          <w:rFonts w:ascii="Arial" w:cs="Arial" w:eastAsia="Arial" w:hAnsi="Arial"/>
          <w:sz w:val="18"/>
          <w:szCs w:val="18"/>
          <w:color w:val="auto"/>
        </w:rPr>
        <w:t xml:space="preserve"> mutation, 80% or more of cellular KRAS</w:t>
      </w:r>
      <w:r>
        <w:rPr>
          <w:rFonts w:ascii="Arial" w:cs="Arial" w:eastAsia="Arial" w:hAnsi="Arial"/>
          <w:sz w:val="11"/>
          <w:szCs w:val="11"/>
          <w:color w:val="auto"/>
        </w:rPr>
        <w:t>G12C</w:t>
      </w:r>
      <w:r>
        <w:rPr>
          <w:rFonts w:ascii="Arial" w:cs="Arial" w:eastAsia="Arial" w:hAnsi="Arial"/>
          <w:sz w:val="18"/>
          <w:szCs w:val="18"/>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SOS1</w:t>
      </w:r>
    </w:p>
    <w:p>
      <w:pPr>
        <w:spacing w:after="0" w:line="122" w:lineRule="exact"/>
        <w:rPr>
          <w:sz w:val="20"/>
          <w:szCs w:val="20"/>
          <w:color w:val="auto"/>
        </w:rPr>
      </w:pPr>
    </w:p>
    <w:p>
      <w:pPr>
        <w:ind w:left="120" w:right="180"/>
        <w:spacing w:after="0" w:line="236" w:lineRule="auto"/>
        <w:rPr>
          <w:sz w:val="20"/>
          <w:szCs w:val="20"/>
          <w:color w:val="auto"/>
        </w:rPr>
      </w:pPr>
      <w:r>
        <w:rPr>
          <w:rFonts w:ascii="Arial" w:cs="Arial" w:eastAsia="Arial" w:hAnsi="Arial"/>
          <w:sz w:val="18"/>
          <w:szCs w:val="18"/>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4EBP1/mTORC1</w:t>
      </w:r>
    </w:p>
    <w:p>
      <w:pPr>
        <w:spacing w:after="0" w:line="122"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 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RAS mutant epidemiology in the United States</w:t>
      </w:r>
    </w:p>
    <w:p>
      <w:pPr>
        <w:spacing w:after="0" w:line="12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Mutations in RAS proteins account for approximately 30% of all human cancers in the United States, many of which are fatal. Diverse oncogenic RAS mutations in three different RAS isoforms (KRAS, NRAS and HRAS) drive distinct human cancers. KRAS mutations are commonly found in NSCLC and account for approximately 85% of RAS-mutant cancers. NRAS mutations are commonly found in melanoma and account for approximately 11% of RAS-mutant cancers. HRAS mutations are commonly found in bladder cancer and account for 4% of RAS-mutant cancers.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83820</wp:posOffset>
            </wp:positionV>
            <wp:extent cx="5194935" cy="19634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9493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3"/>
          <w:szCs w:val="13"/>
          <w:color w:val="auto"/>
        </w:rPr>
      </w:pPr>
      <w:r>
        <w:rPr>
          <w:rFonts w:ascii="Arial" w:cs="Arial" w:eastAsia="Arial" w:hAnsi="Arial"/>
          <w:sz w:val="13"/>
          <w:szCs w:val="13"/>
          <w:color w:val="auto"/>
        </w:rPr>
        <w:t>NSCLC = Non-small cell lung cancer; Adeno = adenocarcinoma; AML = Acute myeloid leukemia.</w:t>
      </w:r>
    </w:p>
    <w:p>
      <w:pPr>
        <w:spacing w:after="0" w:line="67" w:lineRule="exact"/>
        <w:rPr>
          <w:sz w:val="20"/>
          <w:szCs w:val="20"/>
          <w:color w:val="auto"/>
        </w:rPr>
      </w:pPr>
    </w:p>
    <w:p>
      <w:pPr>
        <w:ind w:left="440" w:right="200" w:hanging="324"/>
        <w:spacing w:after="0" w:line="258" w:lineRule="auto"/>
        <w:tabs>
          <w:tab w:leader="none" w:pos="4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43" w:lineRule="exact"/>
        <w:rPr>
          <w:sz w:val="20"/>
          <w:szCs w:val="20"/>
          <w:color w:val="auto"/>
        </w:rPr>
      </w:pPr>
    </w:p>
    <w:p>
      <w:pPr>
        <w:ind w:left="440" w:hanging="324"/>
        <w:spacing w:after="0" w:line="258" w:lineRule="auto"/>
        <w:tabs>
          <w:tab w:leader="none" w:pos="4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of approved drugs treating RAS-dependent cancers and our opportunity</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10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Two treatment gaps remain in RAS-dependent cancers. First, several oncogenic proteins are not addressed by current targeted therapies. Second, cancers driven by oncogenic proteins that are addressed by current targeted therapies often progress in the face of drug therapy due to adaptive resistance mechanisms.</w:t>
      </w:r>
    </w:p>
    <w:p>
      <w:pPr>
        <w:spacing w:after="0" w:line="8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 xml:space="preserve">Specific examples of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drivers are RAS, NF1, and selected RAF mutants (BRAF</w:t>
      </w:r>
      <w:r>
        <w:rPr>
          <w:rFonts w:ascii="Arial" w:cs="Arial" w:eastAsia="Arial" w:hAnsi="Arial"/>
          <w:sz w:val="11"/>
          <w:szCs w:val="11"/>
          <w:color w:val="auto"/>
        </w:rPr>
        <w:t>Class3</w:t>
      </w:r>
      <w:r>
        <w:rPr>
          <w:rFonts w:ascii="Arial" w:cs="Arial" w:eastAsia="Arial" w:hAnsi="Arial"/>
          <w:sz w:val="18"/>
          <w:szCs w:val="18"/>
          <w:color w:val="auto"/>
        </w:rPr>
        <w:t>). Historically, direct inhibition of any RAS protein has been challenging due to a lack of tractable, or “druggable,” binding</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pockets.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w:t>
      </w:r>
    </w:p>
    <w:p>
      <w:pPr>
        <w:spacing w:after="0" w:line="10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treated with two RAS pathway targeted agents to achieve combinatorial benefit by attenuating adaptive resistance mechanisms. For example, melanomas driven by BRAF</w:t>
      </w:r>
      <w:r>
        <w:rPr>
          <w:rFonts w:ascii="Arial" w:cs="Arial" w:eastAsia="Arial" w:hAnsi="Arial"/>
          <w:sz w:val="11"/>
          <w:szCs w:val="11"/>
          <w:color w:val="auto"/>
        </w:rPr>
        <w:t>Class1</w:t>
      </w:r>
      <w:r>
        <w:rPr>
          <w:rFonts w:ascii="Arial" w:cs="Arial" w:eastAsia="Arial" w:hAnsi="Arial"/>
          <w:sz w:val="18"/>
          <w:szCs w:val="18"/>
          <w:color w:val="auto"/>
        </w:rPr>
        <w:t xml:space="preserve"> mutations can be treated with a combination of a BRAF inhibitor and a MEK inhibitor. SHP2 is believed to be a central node that can be targeted to disrupt bypass signaling pathways that may involve activation of multiple RTKs. Therefore, although we are at an early stage of clinical testing and product candidate development,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using our innovation engine to develop novel targeted therapies and combination regimens to address these treatment gaps.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innovation engine</w:t>
      </w:r>
    </w:p>
    <w:p>
      <w:pPr>
        <w:spacing w:after="0" w:line="116"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color w:val="auto"/>
        </w:rPr>
        <w:t xml:space="preserve">We have built an innovation engine that enables us to discover and develop novel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 particular focus on a cohesive set of disease targets within notorious growth and survival pathways. This engine consists of three complementary drivers:</w:t>
      </w:r>
    </w:p>
    <w:p>
      <w:pPr>
        <w:spacing w:after="0" w:line="86" w:lineRule="exact"/>
        <w:rPr>
          <w:sz w:val="20"/>
          <w:szCs w:val="20"/>
          <w:color w:val="auto"/>
        </w:rPr>
      </w:pPr>
    </w:p>
    <w:p>
      <w:pPr>
        <w:ind w:left="340" w:right="220" w:hanging="224"/>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340" w:right="500" w:hanging="224"/>
        <w:spacing w:after="0" w:line="26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340" w:right="500" w:hanging="224"/>
        <w:spacing w:after="0" w:line="327"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chemical biology and cancer pharmacology know-how</w:t>
      </w:r>
    </w:p>
    <w:p>
      <w:pPr>
        <w:spacing w:after="0" w:line="106"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 xml:space="preserve">We test our inhibitors across a diverse set of human cancer cell and patient-derived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 combinations with our proprietary compounds and/or other agents. We evaluate such dosing and combination approaches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define their pharmacologic opportunities and limitations, and to prioritize therapeutic strategies for translation to the clinic.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structure-based drug discovery capabilities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 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106"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 xml:space="preserve">Although we are at an early stage of clinical testing and product candidate development, we believe our differentiated chemical approaches to discovering inhibitors for challenging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40" w:lineRule="exact"/>
        <w:rPr>
          <w:sz w:val="20"/>
          <w:szCs w:val="20"/>
          <w:color w:val="auto"/>
        </w:rPr>
      </w:pPr>
    </w:p>
    <w:p>
      <w:pPr>
        <w:ind w:left="540" w:right="80" w:hanging="424"/>
        <w:spacing w:after="0" w:line="280"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Intra-Molecular Allosteric Inhibitors</w:t>
      </w:r>
      <w:r>
        <w:rPr>
          <w:rFonts w:ascii="Arial" w:cs="Arial" w:eastAsia="Arial" w:hAnsi="Arial"/>
          <w:sz w:val="16"/>
          <w:szCs w:val="16"/>
          <w:color w:val="auto"/>
        </w:rPr>
        <w:t>: Our SHP2 inhibitors, including RMC-4630, act by binding to a site in the protein that is distinct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catalytic “active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6" w:lineRule="exact"/>
        <w:rPr>
          <w:rFonts w:ascii="Arial" w:cs="Arial" w:eastAsia="Arial" w:hAnsi="Arial"/>
          <w:sz w:val="16"/>
          <w:szCs w:val="16"/>
          <w:color w:val="auto"/>
        </w:rPr>
      </w:pPr>
    </w:p>
    <w:p>
      <w:pPr>
        <w:ind w:left="540" w:right="20" w:hanging="424"/>
        <w:spacing w:after="0" w:line="273"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Tri-Complex Inhibitors</w:t>
      </w:r>
      <w:r>
        <w:rPr>
          <w:rFonts w:ascii="Arial" w:cs="Arial" w:eastAsia="Arial" w:hAnsi="Arial"/>
          <w:sz w:val="16"/>
          <w:szCs w:val="16"/>
          <w:color w:val="auto"/>
        </w:rPr>
        <w:t>: Our targeted mutant RAS(ON) portfolio takes advantage of our proprietary tri-complex technology that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us to discover 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13" w:lineRule="exact"/>
        <w:rPr>
          <w:rFonts w:ascii="Arial" w:cs="Arial" w:eastAsia="Arial" w:hAnsi="Arial"/>
          <w:sz w:val="16"/>
          <w:szCs w:val="16"/>
          <w:color w:val="auto"/>
        </w:rPr>
      </w:pPr>
    </w:p>
    <w:p>
      <w:pPr>
        <w:ind w:left="540" w:hanging="424"/>
        <w:spacing w:after="0" w:line="276"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Bi-Steric Inhibitors</w:t>
      </w:r>
      <w:r>
        <w:rPr>
          <w:rFonts w:ascii="Arial" w:cs="Arial" w:eastAsia="Arial" w:hAnsi="Arial"/>
          <w:sz w:val="16"/>
          <w:szCs w:val="16"/>
          <w:color w:val="auto"/>
        </w:rPr>
        <w:t>: Our mTORC1 inhibitors comprise two pharmacophores in a single compound. One pharmacophore binds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well-known FRB (FKBP12-rapamycin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 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80"/>
        <w:spacing w:after="0"/>
        <w:tabs>
          <w:tab w:leader="none" w:pos="5260" w:val="left"/>
          <w:tab w:leader="none" w:pos="8020" w:val="left"/>
        </w:tabs>
        <w:rPr>
          <w:sz w:val="20"/>
          <w:szCs w:val="20"/>
          <w:color w:val="auto"/>
        </w:rPr>
      </w:pPr>
      <w:r>
        <w:rPr>
          <w:rFonts w:ascii="Arial" w:cs="Arial" w:eastAsia="Arial" w:hAnsi="Arial"/>
          <w:sz w:val="18"/>
          <w:szCs w:val="18"/>
          <w:b w:val="1"/>
          <w:bCs w:val="1"/>
          <w:color w:val="auto"/>
        </w:rPr>
        <w:t xml:space="preserve">SHP2: </w:t>
      </w:r>
      <w:r>
        <w:rPr>
          <w:rFonts w:ascii="Arial" w:cs="Arial" w:eastAsia="Arial" w:hAnsi="Arial"/>
          <w:sz w:val="18"/>
          <w:szCs w:val="18"/>
          <w:b w:val="1"/>
          <w:bCs w:val="1"/>
          <w:i w:val="1"/>
          <w:iCs w:val="1"/>
          <w:color w:val="auto"/>
        </w:rPr>
        <w:t>Intra-Molecular Allosteric</w:t>
      </w:r>
      <w:r>
        <w:rPr>
          <w:sz w:val="20"/>
          <w:szCs w:val="20"/>
          <w:color w:val="auto"/>
        </w:rPr>
        <w:tab/>
      </w:r>
      <w:r>
        <w:rPr>
          <w:rFonts w:ascii="Arial" w:cs="Arial" w:eastAsia="Arial" w:hAnsi="Arial"/>
          <w:sz w:val="18"/>
          <w:szCs w:val="18"/>
          <w:b w:val="1"/>
          <w:bCs w:val="1"/>
          <w:color w:val="auto"/>
        </w:rPr>
        <w:t xml:space="preserve">RAS: </w:t>
      </w:r>
      <w:r>
        <w:rPr>
          <w:rFonts w:ascii="Arial" w:cs="Arial" w:eastAsia="Arial" w:hAnsi="Arial"/>
          <w:sz w:val="18"/>
          <w:szCs w:val="18"/>
          <w:b w:val="1"/>
          <w:bCs w:val="1"/>
          <w:i w:val="1"/>
          <w:iCs w:val="1"/>
          <w:color w:val="auto"/>
        </w:rPr>
        <w:t>Tri-Complex</w:t>
      </w:r>
      <w:r>
        <w:rPr>
          <w:sz w:val="20"/>
          <w:szCs w:val="20"/>
          <w:color w:val="auto"/>
        </w:rPr>
        <w:tab/>
      </w:r>
      <w:r>
        <w:rPr>
          <w:rFonts w:ascii="Arial" w:cs="Arial" w:eastAsia="Arial" w:hAnsi="Arial"/>
          <w:sz w:val="16"/>
          <w:szCs w:val="16"/>
          <w:b w:val="1"/>
          <w:bCs w:val="1"/>
          <w:color w:val="auto"/>
        </w:rPr>
        <w:t xml:space="preserve">mTORC1: </w:t>
      </w:r>
      <w:r>
        <w:rPr>
          <w:rFonts w:ascii="Arial" w:cs="Arial" w:eastAsia="Arial" w:hAnsi="Arial"/>
          <w:sz w:val="16"/>
          <w:szCs w:val="16"/>
          <w:b w:val="1"/>
          <w:bCs w:val="1"/>
          <w:i w:val="1"/>
          <w:iCs w:val="1"/>
          <w:color w:val="auto"/>
        </w:rPr>
        <w:t>Bi-Steric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precision medicine approach</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pipeline</w:t>
      </w:r>
    </w:p>
    <w:p>
      <w:pPr>
        <w:spacing w:after="0" w:line="116"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 xml:space="preserve">We are using our innovation engine to develop a deep pipeline of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the notorious RAS and mTOR signaling pathways. Our pipeline includes one product candidate that is in clinical development and all of our other programs are in the preclinical stage.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149860</wp:posOffset>
            </wp:positionV>
            <wp:extent cx="5186045" cy="22371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8604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60"/>
          </w:cols>
          <w:pgMar w:left="320" w:top="459"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SHP2 inhibitor, RMC-4630</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RTKs to RAS. In collaboration with Sanofi, we are evaluating RMC-4630 in a multi-cohort Phase 1/2 clinical program, which includes:</w:t>
      </w:r>
    </w:p>
    <w:p>
      <w:pPr>
        <w:spacing w:after="0" w:line="113" w:lineRule="exact"/>
        <w:rPr>
          <w:sz w:val="20"/>
          <w:szCs w:val="20"/>
          <w:color w:val="auto"/>
        </w:rPr>
      </w:pPr>
    </w:p>
    <w:p>
      <w:pPr>
        <w:ind w:left="340" w:right="620" w:hanging="224"/>
        <w:spacing w:after="0" w:line="239"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ongoing Phase 1 study of RMC-4630 as monotherapy in patients with advanced cancers, including those with tumors harboring genetically defined mutations in the RAS signaling pathway,</w:t>
      </w:r>
    </w:p>
    <w:p>
      <w:pPr>
        <w:spacing w:after="0" w:line="114" w:lineRule="exact"/>
        <w:rPr>
          <w:rFonts w:ascii="Arial" w:cs="Arial" w:eastAsia="Arial" w:hAnsi="Arial"/>
          <w:sz w:val="18"/>
          <w:szCs w:val="18"/>
          <w:color w:val="auto"/>
        </w:rPr>
      </w:pPr>
    </w:p>
    <w:p>
      <w:pPr>
        <w:ind w:left="340" w:right="140" w:hanging="224"/>
        <w:spacing w:after="0" w:line="238"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Amgen’s ongoing Phase 1b study of RMC-4630 in combination with the KRAS</w:t>
      </w:r>
      <w:r>
        <w:rPr>
          <w:rFonts w:ascii="Arial" w:cs="Arial" w:eastAsia="Arial" w:hAnsi="Arial"/>
          <w:sz w:val="11"/>
          <w:szCs w:val="11"/>
          <w:color w:val="auto"/>
        </w:rPr>
        <w:t>G12C</w:t>
      </w:r>
      <w:r>
        <w:rPr>
          <w:rFonts w:ascii="Arial" w:cs="Arial" w:eastAsia="Arial" w:hAnsi="Arial"/>
          <w:sz w:val="18"/>
          <w:szCs w:val="18"/>
          <w:color w:val="auto"/>
        </w:rPr>
        <w:t>(OFF) inhibitor sotorasib, and</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Sanofi’s ongoing Phase 1 study of RMC-4630 in combination with the PD-1 inhibitor pembrolizumab.</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also plan to explore the potential clinical benefit of RMC-4630 in combination with other in-pathway agents targeting EGFR (initially with osimertinib) and KRAS</w:t>
      </w:r>
      <w:r>
        <w:rPr>
          <w:rFonts w:ascii="Arial" w:cs="Arial" w:eastAsia="Arial" w:hAnsi="Arial"/>
          <w:sz w:val="11"/>
          <w:szCs w:val="11"/>
          <w:color w:val="auto"/>
        </w:rPr>
        <w:t>G12C</w:t>
      </w:r>
      <w:r>
        <w:rPr>
          <w:rFonts w:ascii="Arial" w:cs="Arial" w:eastAsia="Arial" w:hAnsi="Arial"/>
          <w:sz w:val="18"/>
          <w:szCs w:val="18"/>
          <w:color w:val="auto"/>
        </w:rPr>
        <w:t>. In March 2020, the Netherlands Cancer Institute announced plans to initiate a study combining RMC-4630 with an investigational ERK inhibitor in patients with pancreatic cancer in the second half of 2020. We plan to provide RMC-4630 to support this investigator sponsored study.</w:t>
      </w:r>
    </w:p>
    <w:p>
      <w:pPr>
        <w:spacing w:after="0" w:line="100"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profile of RMC-4630</w:t>
      </w:r>
    </w:p>
    <w:p>
      <w:pPr>
        <w:spacing w:after="0" w:line="53" w:lineRule="exact"/>
        <w:rPr>
          <w:sz w:val="20"/>
          <w:szCs w:val="20"/>
          <w:color w:val="auto"/>
        </w:rPr>
      </w:pPr>
    </w:p>
    <w:p>
      <w:pPr>
        <w:ind w:left="120" w:right="60"/>
        <w:spacing w:after="0" w:line="233" w:lineRule="auto"/>
        <w:rPr>
          <w:sz w:val="20"/>
          <w:szCs w:val="20"/>
          <w:color w:val="auto"/>
        </w:rPr>
      </w:pPr>
      <w:r>
        <w:rPr>
          <w:rFonts w:ascii="Arial" w:cs="Arial" w:eastAsia="Arial" w:hAnsi="Arial"/>
          <w:sz w:val="18"/>
          <w:szCs w:val="18"/>
          <w:color w:val="auto"/>
        </w:rPr>
        <w:t>RMC-4630 potently inhibits SHP2 phosphatase activity in a biochemical assay that monitored dephosphorylation of a probe substrate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1.29 nM, range 0.9 nM to 2.2 nM, number of experiments = 13) and SHP2 function in cellular assays, as measured by inhibition of ERK1/2 phosphorylation at Thr202/Tyr204, a read out for RAS pathway activation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values of 14 nM in PC9</w:t>
      </w:r>
      <w:r>
        <w:rPr>
          <w:rFonts w:ascii="Arial" w:cs="Arial" w:eastAsia="Arial" w:hAnsi="Arial"/>
          <w:sz w:val="11"/>
          <w:szCs w:val="11"/>
          <w:color w:val="auto"/>
        </w:rPr>
        <w:t>EGFRex19del</w:t>
      </w:r>
      <w:r>
        <w:rPr>
          <w:rFonts w:ascii="Arial" w:cs="Arial" w:eastAsia="Arial" w:hAnsi="Arial"/>
          <w:sz w:val="18"/>
          <w:szCs w:val="18"/>
          <w:color w:val="auto"/>
        </w:rPr>
        <w:t xml:space="preserve"> cells, range 5.3 nM to 63 nM, number of experiments = 11; and 20 nM in NCI-H358 KRAS</w:t>
      </w:r>
      <w:r>
        <w:rPr>
          <w:rFonts w:ascii="Arial" w:cs="Arial" w:eastAsia="Arial" w:hAnsi="Arial"/>
          <w:sz w:val="11"/>
          <w:szCs w:val="11"/>
          <w:color w:val="auto"/>
        </w:rPr>
        <w:t>G12C</w:t>
      </w:r>
      <w:r>
        <w:rPr>
          <w:rFonts w:ascii="Arial" w:cs="Arial" w:eastAsia="Arial" w:hAnsi="Arial"/>
          <w:sz w:val="18"/>
          <w:szCs w:val="18"/>
          <w:color w:val="auto"/>
        </w:rPr>
        <w:t xml:space="preserve"> cells, range 14.5 nM to 27.5 nM, number of experiments = 4). In standard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assays of target selectivity, no significant interaction with kinases or other phosphatases was observed. RMC-4630 (up to a test</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 of 10 µM) exhibited no inhibition of full length SHP1 phosphatase (number of experiments = 3), or the catalytic domains of SHP1 and thirteen other phosphatase enzymes (single experiment conducted in duplicate). RMC-4630 exhibited over 3,000-fold (range 7054 to &gt;19,000, single experiment conducted in duplicate) selectivity for SHP2 (as measured by biochemical potency) over a panel of over 450 kinases (as measured by displacement of probe binding).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anti-tumor activity</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color w:val="auto"/>
        </w:rPr>
        <w:t xml:space="preserve"> mutations or wild-type KRAS amplifications (Figure 1a). Moreover, RMC-4630 at 30 mg/kg daily administered orally induced regression in some tumor models. The preclinical activity of RMC-4630 against tumors with NF1</w:t>
      </w:r>
      <w:r>
        <w:rPr>
          <w:rFonts w:ascii="Arial" w:cs="Arial" w:eastAsia="Arial" w:hAnsi="Arial"/>
          <w:sz w:val="11"/>
          <w:szCs w:val="11"/>
          <w:color w:val="auto"/>
        </w:rPr>
        <w:t>LOF</w:t>
      </w:r>
      <w:r>
        <w:rPr>
          <w:rFonts w:ascii="Arial" w:cs="Arial" w:eastAsia="Arial" w:hAnsi="Arial"/>
          <w:sz w:val="18"/>
          <w:szCs w:val="18"/>
          <w:color w:val="auto"/>
        </w:rPr>
        <w:t xml:space="preserve"> was confirmed in a series of patient-derived xenograft (PDX) models of tumors bearing NF1 mutations predicted to result in loss of function (LOF) (Figure 1b).</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700"/>
        <w:spacing w:after="0" w:line="264" w:lineRule="auto"/>
        <w:rPr>
          <w:sz w:val="20"/>
          <w:szCs w:val="20"/>
          <w:color w:val="auto"/>
        </w:rPr>
      </w:pPr>
      <w:r>
        <w:rPr>
          <w:rFonts w:ascii="Arial" w:cs="Arial" w:eastAsia="Arial" w:hAnsi="Arial"/>
          <w:sz w:val="18"/>
          <w:szCs w:val="18"/>
          <w:b w:val="1"/>
          <w:bCs w:val="1"/>
          <w:color w:val="auto"/>
        </w:rPr>
        <w:t>Figure 1a</w:t>
      </w:r>
      <w:r>
        <w:rPr>
          <w:rFonts w:ascii="Arial" w:cs="Arial" w:eastAsia="Arial" w:hAnsi="Arial"/>
          <w:sz w:val="18"/>
          <w:szCs w:val="18"/>
          <w:color w:val="auto"/>
        </w:rPr>
        <w:t>: RMC-4630 suppresses tumor growth in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57150</wp:posOffset>
            </wp:positionV>
            <wp:extent cx="4397375" cy="28117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9737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40"/>
        <w:spacing w:after="0" w:line="201" w:lineRule="auto"/>
        <w:rPr>
          <w:sz w:val="20"/>
          <w:szCs w:val="20"/>
          <w:color w:val="auto"/>
        </w:rPr>
      </w:pPr>
      <w:r>
        <w:rPr>
          <w:rFonts w:ascii="Arial" w:cs="Arial" w:eastAsia="Arial" w:hAnsi="Arial"/>
          <w:sz w:val="13"/>
          <w:szCs w:val="13"/>
          <w:color w:val="auto"/>
        </w:rPr>
        <w:t xml:space="preserve">Daily oral administration (po qd) of RMC-4630 at 10 mg/kg (red) or 30 mg/kg (green) produces a dose-dependent inhibition of tumor growth in multiple solid human tumor cell line-derived or patient-derived xenograft (CDX or PDX, respectively) models bearing RAS pathway activating mutations of interest. All human xenograft models implanted in immune-deficient mice: </w:t>
      </w:r>
      <w:r>
        <w:rPr>
          <w:rFonts w:ascii="Arial" w:cs="Arial" w:eastAsia="Arial" w:hAnsi="Arial"/>
          <w:sz w:val="13"/>
          <w:szCs w:val="13"/>
          <w:b w:val="1"/>
          <w:bCs w:val="1"/>
          <w:color w:val="auto"/>
        </w:rPr>
        <w:t>(a)</w:t>
      </w:r>
      <w:r>
        <w:rPr>
          <w:rFonts w:ascii="Arial" w:cs="Arial" w:eastAsia="Arial" w:hAnsi="Arial"/>
          <w:sz w:val="13"/>
          <w:szCs w:val="13"/>
          <w:color w:val="auto"/>
        </w:rPr>
        <w:t xml:space="preserve"> non-small cell lung cancer (NSCLC) PDX LUN#092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w:t>
      </w:r>
      <w:r>
        <w:rPr>
          <w:rFonts w:ascii="Arial" w:cs="Arial" w:eastAsia="Arial" w:hAnsi="Arial"/>
          <w:sz w:val="13"/>
          <w:szCs w:val="13"/>
          <w:b w:val="1"/>
          <w:bCs w:val="1"/>
          <w:color w:val="auto"/>
        </w:rPr>
        <w:t>(b)</w:t>
      </w:r>
      <w:r>
        <w:rPr>
          <w:rFonts w:ascii="Arial" w:cs="Arial" w:eastAsia="Arial" w:hAnsi="Arial"/>
          <w:sz w:val="13"/>
          <w:szCs w:val="13"/>
          <w:color w:val="auto"/>
        </w:rPr>
        <w:t xml:space="preserve"> NSCLC BRAF</w:t>
      </w:r>
      <w:r>
        <w:rPr>
          <w:rFonts w:ascii="Arial" w:cs="Arial" w:eastAsia="Arial" w:hAnsi="Arial"/>
          <w:sz w:val="22"/>
          <w:szCs w:val="22"/>
          <w:color w:val="auto"/>
          <w:vertAlign w:val="superscript"/>
        </w:rPr>
        <w:t>Class 3</w:t>
      </w:r>
      <w:r>
        <w:rPr>
          <w:rFonts w:ascii="Arial" w:cs="Arial" w:eastAsia="Arial" w:hAnsi="Arial"/>
          <w:sz w:val="13"/>
          <w:szCs w:val="13"/>
          <w:color w:val="auto"/>
        </w:rPr>
        <w:t xml:space="preserve"> PDX LUN#023 (BRAF</w:t>
      </w:r>
      <w:r>
        <w:rPr>
          <w:rFonts w:ascii="Arial" w:cs="Arial" w:eastAsia="Arial" w:hAnsi="Arial"/>
          <w:sz w:val="22"/>
          <w:szCs w:val="22"/>
          <w:color w:val="auto"/>
          <w:vertAlign w:val="superscript"/>
        </w:rPr>
        <w:t>D594N</w:t>
      </w:r>
      <w:r>
        <w:rPr>
          <w:rFonts w:ascii="Arial" w:cs="Arial" w:eastAsia="Arial" w:hAnsi="Arial"/>
          <w:sz w:val="13"/>
          <w:szCs w:val="13"/>
          <w:color w:val="auto"/>
        </w:rPr>
        <w:t xml:space="preserve">), </w:t>
      </w:r>
      <w:r>
        <w:rPr>
          <w:rFonts w:ascii="Arial" w:cs="Arial" w:eastAsia="Arial" w:hAnsi="Arial"/>
          <w:sz w:val="13"/>
          <w:szCs w:val="13"/>
          <w:b w:val="1"/>
          <w:bCs w:val="1"/>
          <w:color w:val="auto"/>
        </w:rPr>
        <w:t>(c)</w:t>
      </w:r>
      <w:r>
        <w:rPr>
          <w:rFonts w:ascii="Arial" w:cs="Arial" w:eastAsia="Arial" w:hAnsi="Arial"/>
          <w:sz w:val="13"/>
          <w:szCs w:val="13"/>
          <w:color w:val="auto"/>
        </w:rPr>
        <w:t xml:space="preserve"> gastric cancer PDX STO#332 wild-type KRAS amplification (KRAS Amp, copy number, CN = 4) and </w:t>
      </w:r>
      <w:r>
        <w:rPr>
          <w:rFonts w:ascii="Arial" w:cs="Arial" w:eastAsia="Arial" w:hAnsi="Arial"/>
          <w:sz w:val="13"/>
          <w:szCs w:val="13"/>
          <w:b w:val="1"/>
          <w:bCs w:val="1"/>
          <w:color w:val="auto"/>
        </w:rPr>
        <w:t>(d)</w:t>
      </w:r>
      <w:r>
        <w:rPr>
          <w:rFonts w:ascii="Arial" w:cs="Arial" w:eastAsia="Arial" w:hAnsi="Arial"/>
          <w:sz w:val="13"/>
          <w:szCs w:val="13"/>
          <w:color w:val="auto"/>
        </w:rPr>
        <w:t xml:space="preserve"> NSCLC CDX NCI-H1838 NF1</w:t>
      </w:r>
      <w:r>
        <w:rPr>
          <w:rFonts w:ascii="Arial" w:cs="Arial" w:eastAsia="Arial" w:hAnsi="Arial"/>
          <w:sz w:val="22"/>
          <w:szCs w:val="22"/>
          <w:color w:val="auto"/>
          <w:vertAlign w:val="superscript"/>
        </w:rPr>
        <w:t>LOF</w:t>
      </w:r>
      <w:r>
        <w:rPr>
          <w:rFonts w:ascii="Arial" w:cs="Arial" w:eastAsia="Arial" w:hAnsi="Arial"/>
          <w:sz w:val="13"/>
          <w:szCs w:val="13"/>
          <w:color w:val="auto"/>
        </w:rPr>
        <w:t xml:space="preserve"> (NF1</w:t>
      </w:r>
      <w:r>
        <w:rPr>
          <w:rFonts w:ascii="Arial" w:cs="Arial" w:eastAsia="Arial" w:hAnsi="Arial"/>
          <w:sz w:val="22"/>
          <w:szCs w:val="22"/>
          <w:color w:val="auto"/>
          <w:vertAlign w:val="superscript"/>
        </w:rPr>
        <w:t>I184fs</w:t>
      </w:r>
      <w:r>
        <w:rPr>
          <w:rFonts w:ascii="Arial" w:cs="Arial" w:eastAsia="Arial" w:hAnsi="Arial"/>
          <w:sz w:val="13"/>
          <w:szCs w:val="13"/>
          <w:color w:val="auto"/>
        </w:rPr>
        <w:t>). Control animals are shown in black. Data represent waterfall plots of individual end of study tumor responses, with tumor volume expressed as a percentage of initial tumor volume at time of study start (truncated at 400%). Each animal is represented as a separate bar (number of mice per group = 9 to 10). Numbers indicate number of regressions (defined as &gt; 10% reduction in tumor volume from starting volume) in each group. Dotted line references 50% reduction in tumor volume. The duration of treatment with RMC-4630 or vehicle control was within a range of 30 days to 50 days across the four models.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1b</w:t>
      </w:r>
      <w:r>
        <w:rPr>
          <w:rFonts w:ascii="Arial" w:cs="Arial" w:eastAsia="Arial" w:hAnsi="Arial"/>
          <w:sz w:val="18"/>
          <w:szCs w:val="18"/>
          <w:color w:val="auto"/>
        </w:rPr>
        <w:t>: RMC-4630 causes tumor growth inhibition and regressions in diverse preclinical NF1</w:t>
      </w:r>
      <w:r>
        <w:rPr>
          <w:rFonts w:ascii="Arial" w:cs="Arial" w:eastAsia="Arial" w:hAnsi="Arial"/>
          <w:sz w:val="11"/>
          <w:szCs w:val="11"/>
          <w:color w:val="auto"/>
        </w:rPr>
        <w:t>LOF</w:t>
      </w:r>
      <w:r>
        <w:rPr>
          <w:rFonts w:ascii="Arial" w:cs="Arial" w:eastAsia="Arial" w:hAnsi="Arial"/>
          <w:sz w:val="18"/>
          <w:szCs w:val="18"/>
          <w:b w:val="1"/>
          <w:bCs w:val="1"/>
          <w:color w:val="auto"/>
        </w:rPr>
        <w:t xml:space="preserve"> </w:t>
      </w:r>
      <w:r>
        <w:rPr>
          <w:rFonts w:ascii="Arial" w:cs="Arial" w:eastAsia="Arial" w:hAnsi="Arial"/>
          <w:sz w:val="18"/>
          <w:szCs w:val="18"/>
          <w:color w:val="auto"/>
        </w:rPr>
        <w:t>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86360</wp:posOffset>
            </wp:positionV>
            <wp:extent cx="3531870" cy="14573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3187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line="205" w:lineRule="auto"/>
        <w:rPr>
          <w:sz w:val="20"/>
          <w:szCs w:val="20"/>
          <w:color w:val="auto"/>
        </w:rPr>
      </w:pPr>
      <w:r>
        <w:rPr>
          <w:rFonts w:ascii="Arial" w:cs="Arial" w:eastAsia="Arial" w:hAnsi="Arial"/>
          <w:sz w:val="13"/>
          <w:szCs w:val="13"/>
          <w:color w:val="auto"/>
        </w:rPr>
        <w:t>Anti-tumor activity of RMC-4630 in preclinical models of NSCLC tumors bearing mutations predicted to result in loss of function (LOF) of neurofibromin 1 (NF1) (NF1</w:t>
      </w:r>
      <w:r>
        <w:rPr>
          <w:rFonts w:ascii="Arial" w:cs="Arial" w:eastAsia="Arial" w:hAnsi="Arial"/>
          <w:sz w:val="22"/>
          <w:szCs w:val="22"/>
          <w:color w:val="auto"/>
          <w:vertAlign w:val="superscript"/>
        </w:rPr>
        <w:t>LOF</w:t>
      </w:r>
      <w:r>
        <w:rPr>
          <w:rFonts w:ascii="Arial" w:cs="Arial" w:eastAsia="Arial" w:hAnsi="Arial"/>
          <w:sz w:val="13"/>
          <w:szCs w:val="13"/>
          <w:color w:val="auto"/>
        </w:rPr>
        <w:t xml:space="preserve">). Predicted LOF mutations include deletions, insertions, premature stops and truncations in the neurofibromin 1 gene. </w:t>
      </w:r>
      <w:r>
        <w:rPr>
          <w:rFonts w:ascii="Arial" w:cs="Arial" w:eastAsia="Arial" w:hAnsi="Arial"/>
          <w:sz w:val="13"/>
          <w:szCs w:val="13"/>
          <w:b w:val="1"/>
          <w:bCs w:val="1"/>
          <w:color w:val="auto"/>
        </w:rPr>
        <w:t>(a)</w:t>
      </w:r>
      <w:r>
        <w:rPr>
          <w:rFonts w:ascii="Arial" w:cs="Arial" w:eastAsia="Arial" w:hAnsi="Arial"/>
          <w:sz w:val="13"/>
          <w:szCs w:val="13"/>
          <w:color w:val="auto"/>
        </w:rPr>
        <w:t xml:space="preserve"> Effect of daily oral administration (po qd) of RMC-4630 at 30 mg/kg (green) or vehicle control (black) on tumor growth in NSCLC LUN#150 human PDX model (number of animals per group = 3). Graph shows tumor volume data for individual animals, expressed as a percentage of initial tumor volume at time of study start. The effects of RMC-4630 at 30 mg/kg po qd were evaluated across a total of 55 human PDX models of varying histotypes all with predicted NF1</w:t>
      </w:r>
      <w:r>
        <w:rPr>
          <w:rFonts w:ascii="Arial" w:cs="Arial" w:eastAsia="Arial" w:hAnsi="Arial"/>
          <w:sz w:val="22"/>
          <w:szCs w:val="22"/>
          <w:color w:val="auto"/>
          <w:vertAlign w:val="superscript"/>
        </w:rPr>
        <w:t>LOF</w:t>
      </w:r>
      <w:r>
        <w:rPr>
          <w:rFonts w:ascii="Arial" w:cs="Arial" w:eastAsia="Arial" w:hAnsi="Arial"/>
          <w:sz w:val="13"/>
          <w:szCs w:val="13"/>
          <w:color w:val="auto"/>
        </w:rPr>
        <w:t xml:space="preserve">. Tumor growth inhibition was observed in 34/55 models (62%) and tumor regressions in 23/93 (25%) mice that had a response (93/166 mice). </w:t>
      </w:r>
      <w:r>
        <w:rPr>
          <w:rFonts w:ascii="Arial" w:cs="Arial" w:eastAsia="Arial" w:hAnsi="Arial"/>
          <w:sz w:val="13"/>
          <w:szCs w:val="13"/>
          <w:b w:val="1"/>
          <w:bCs w:val="1"/>
          <w:color w:val="auto"/>
        </w:rPr>
        <w:t>(b)</w:t>
      </w:r>
      <w:r>
        <w:rPr>
          <w:rFonts w:ascii="Arial" w:cs="Arial" w:eastAsia="Arial" w:hAnsi="Arial"/>
          <w:sz w:val="13"/>
          <w:szCs w:val="13"/>
          <w:color w:val="auto"/>
        </w:rPr>
        <w:t xml:space="preserve"> Effect of intermittent, every other day, oral administration (po q2d) of RMC-4630 at 120 mg/kg (green) or vehicle control (black) on tumor growth in NSCLC NCI-H1838 human CDX model (number of animals per group = 9). Graph shows mean tumor volume data. Dotted line references baseline tumor volume. All dose regimens were well-tolerated.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Optimizing dosing and scheduling</w:t>
      </w:r>
    </w:p>
    <w:p>
      <w:pPr>
        <w:spacing w:after="0" w:line="122" w:lineRule="exact"/>
        <w:rPr>
          <w:sz w:val="20"/>
          <w:szCs w:val="20"/>
          <w:color w:val="auto"/>
        </w:rPr>
      </w:pPr>
    </w:p>
    <w:p>
      <w:pPr>
        <w:ind w:left="120" w:right="540"/>
        <w:spacing w:after="0" w:line="238" w:lineRule="auto"/>
        <w:rPr>
          <w:sz w:val="20"/>
          <w:szCs w:val="20"/>
          <w:color w:val="auto"/>
        </w:rPr>
      </w:pPr>
      <w:r>
        <w:rPr>
          <w:rFonts w:ascii="Arial" w:cs="Arial" w:eastAsia="Arial" w:hAnsi="Arial"/>
          <w:sz w:val="18"/>
          <w:szCs w:val="18"/>
          <w:color w:val="auto"/>
        </w:rPr>
        <w:t>Using an intermittent dosing schedule, which permits deep but discontinuous inhibition of the SHP2 target, significantly higher doses of RMC-4630 were tolerated than could be delivered with daily dosing. These higher doses of RMC-4630 led to increased tumor growth inhibition and resulted in more frequent and deeper tumor regressions (Figure 2).</w:t>
      </w:r>
    </w:p>
    <w:p>
      <w:pPr>
        <w:spacing w:after="0" w:line="78" w:lineRule="exact"/>
        <w:rPr>
          <w:sz w:val="20"/>
          <w:szCs w:val="20"/>
          <w:color w:val="auto"/>
        </w:rPr>
      </w:pPr>
    </w:p>
    <w:p>
      <w:pPr>
        <w:ind w:left="120" w:right="560"/>
        <w:spacing w:after="0" w:line="264" w:lineRule="auto"/>
        <w:rPr>
          <w:sz w:val="20"/>
          <w:szCs w:val="20"/>
          <w:color w:val="auto"/>
        </w:rPr>
      </w:pPr>
      <w:r>
        <w:rPr>
          <w:rFonts w:ascii="Arial" w:cs="Arial" w:eastAsia="Arial" w:hAnsi="Arial"/>
          <w:sz w:val="18"/>
          <w:szCs w:val="18"/>
          <w:b w:val="1"/>
          <w:bCs w:val="1"/>
          <w:color w:val="auto"/>
        </w:rPr>
        <w:t>Figure 2</w:t>
      </w:r>
      <w:r>
        <w:rPr>
          <w:rFonts w:ascii="Arial" w:cs="Arial" w:eastAsia="Arial" w:hAnsi="Arial"/>
          <w:sz w:val="18"/>
          <w:szCs w:val="18"/>
          <w:color w:val="auto"/>
        </w:rPr>
        <w:t>: Intermittent dose regimens of RMC-4630 produce deeper and more frequent tumor regressions than daily dosing at maximal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dose in a preclinical xenograft model of NSCLC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86360</wp:posOffset>
            </wp:positionV>
            <wp:extent cx="3737610" cy="26492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3761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line="214" w:lineRule="auto"/>
        <w:rPr>
          <w:sz w:val="20"/>
          <w:szCs w:val="20"/>
          <w:color w:val="auto"/>
        </w:rPr>
      </w:pPr>
      <w:r>
        <w:rPr>
          <w:rFonts w:ascii="Arial" w:cs="Arial" w:eastAsia="Arial" w:hAnsi="Arial"/>
          <w:sz w:val="13"/>
          <w:szCs w:val="13"/>
          <w:color w:val="auto"/>
        </w:rPr>
        <w:t>Anti-tumor activity of daily (qd) and intermittent, every other day, (q2d) oral (po) dose regimens for RMC-4630 in 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cell line-derived xenograft model in mice. Graphs show tumor volume data for individual animals, expressed as a percentage of initial tumor volume at time of study start, for </w:t>
      </w:r>
      <w:r>
        <w:rPr>
          <w:rFonts w:ascii="Arial" w:cs="Arial" w:eastAsia="Arial" w:hAnsi="Arial"/>
          <w:sz w:val="13"/>
          <w:szCs w:val="13"/>
          <w:b w:val="1"/>
          <w:bCs w:val="1"/>
          <w:color w:val="auto"/>
        </w:rPr>
        <w:t>(a)</w:t>
      </w:r>
      <w:r>
        <w:rPr>
          <w:rFonts w:ascii="Arial" w:cs="Arial" w:eastAsia="Arial" w:hAnsi="Arial"/>
          <w:sz w:val="13"/>
          <w:szCs w:val="13"/>
          <w:color w:val="auto"/>
        </w:rPr>
        <w:t xml:space="preserve"> 30 mg/kg qd, </w:t>
      </w:r>
      <w:r>
        <w:rPr>
          <w:rFonts w:ascii="Arial" w:cs="Arial" w:eastAsia="Arial" w:hAnsi="Arial"/>
          <w:sz w:val="13"/>
          <w:szCs w:val="13"/>
          <w:b w:val="1"/>
          <w:bCs w:val="1"/>
          <w:color w:val="auto"/>
        </w:rPr>
        <w:t>(b)</w:t>
      </w:r>
      <w:r>
        <w:rPr>
          <w:rFonts w:ascii="Arial" w:cs="Arial" w:eastAsia="Arial" w:hAnsi="Arial"/>
          <w:sz w:val="13"/>
          <w:szCs w:val="13"/>
          <w:color w:val="auto"/>
        </w:rPr>
        <w:t xml:space="preserve"> 60 mg/kg q2d, </w:t>
      </w:r>
      <w:r>
        <w:rPr>
          <w:rFonts w:ascii="Arial" w:cs="Arial" w:eastAsia="Arial" w:hAnsi="Arial"/>
          <w:sz w:val="13"/>
          <w:szCs w:val="13"/>
          <w:b w:val="1"/>
          <w:bCs w:val="1"/>
          <w:color w:val="auto"/>
        </w:rPr>
        <w:t>(c)</w:t>
      </w:r>
      <w:r>
        <w:rPr>
          <w:rFonts w:ascii="Arial" w:cs="Arial" w:eastAsia="Arial" w:hAnsi="Arial"/>
          <w:sz w:val="13"/>
          <w:szCs w:val="13"/>
          <w:color w:val="auto"/>
        </w:rPr>
        <w:t xml:space="preserve"> 120 mg/kg q2d and </w:t>
      </w:r>
      <w:r>
        <w:rPr>
          <w:rFonts w:ascii="Arial" w:cs="Arial" w:eastAsia="Arial" w:hAnsi="Arial"/>
          <w:sz w:val="13"/>
          <w:szCs w:val="13"/>
          <w:b w:val="1"/>
          <w:bCs w:val="1"/>
          <w:color w:val="auto"/>
        </w:rPr>
        <w:t>(d)</w:t>
      </w:r>
      <w:r>
        <w:rPr>
          <w:rFonts w:ascii="Arial" w:cs="Arial" w:eastAsia="Arial" w:hAnsi="Arial"/>
          <w:sz w:val="13"/>
          <w:szCs w:val="13"/>
          <w:color w:val="auto"/>
        </w:rPr>
        <w:t xml:space="preserve"> 200 mg/kg q2d dose regimens (number of animals per group = 9 to 10). Changes in tumor volume of greater than 10% (grey zone) are considered significant. Dotted line references 50% reduction in tumor volume. All dose regimens were well-tolerated.</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 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1"/>
          <w:szCs w:val="11"/>
          <w:color w:val="auto"/>
        </w:rPr>
        <w:t>G12C</w:t>
      </w:r>
      <w:r>
        <w:rPr>
          <w:rFonts w:ascii="Arial" w:cs="Arial" w:eastAsia="Arial" w:hAnsi="Arial"/>
          <w:sz w:val="18"/>
          <w:szCs w:val="18"/>
          <w:color w:val="auto"/>
        </w:rPr>
        <w:t xml:space="preserve"> or EGFR.</w:t>
      </w:r>
    </w:p>
    <w:p>
      <w:pPr>
        <w:spacing w:after="0" w:line="102"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100" w:lineRule="exact"/>
        <w:rPr>
          <w:sz w:val="20"/>
          <w:szCs w:val="20"/>
          <w:color w:val="auto"/>
        </w:rPr>
      </w:pPr>
    </w:p>
    <w:p>
      <w:pPr>
        <w:ind w:left="120" w:right="400"/>
        <w:spacing w:after="0" w:line="239" w:lineRule="auto"/>
        <w:rPr>
          <w:sz w:val="20"/>
          <w:szCs w:val="20"/>
          <w:color w:val="auto"/>
        </w:rPr>
      </w:pPr>
      <w:r>
        <w:rPr>
          <w:rFonts w:ascii="Arial" w:cs="Arial" w:eastAsia="Arial" w:hAnsi="Arial"/>
          <w:sz w:val="18"/>
          <w:szCs w:val="18"/>
          <w:color w:val="auto"/>
        </w:rPr>
        <w:t>In several preclinical tumor xenograft models either RMC-4630 or cobimetinib, dosed as single agents at doses lower than the maximally tolerated dose for each agent, inhibited tumor growth but induced few tumor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39" w:lineRule="auto"/>
        <w:rPr>
          <w:sz w:val="20"/>
          <w:szCs w:val="20"/>
          <w:color w:val="auto"/>
        </w:rPr>
      </w:pPr>
      <w:r>
        <w:rPr>
          <w:rFonts w:ascii="Arial" w:cs="Arial" w:eastAsia="Arial" w:hAnsi="Arial"/>
          <w:sz w:val="18"/>
          <w:szCs w:val="18"/>
          <w:color w:val="auto"/>
        </w:rPr>
        <w:t>regressions. However, the number and depth of tumor regressions was markedly increased upon treatment with a combination of these low-doses of RMC-4630 and cobimetinib (Figure 3).</w:t>
      </w:r>
    </w:p>
    <w:p>
      <w:pPr>
        <w:spacing w:after="0" w:line="79"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Figure 3</w:t>
      </w:r>
      <w:r>
        <w:rPr>
          <w:rFonts w:ascii="Arial" w:cs="Arial" w:eastAsia="Arial" w:hAnsi="Arial"/>
          <w:sz w:val="18"/>
          <w:szCs w:val="18"/>
          <w:color w:val="auto"/>
        </w:rPr>
        <w:t>: Combination benefit for RMC-4630 and cobimetinib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86360</wp:posOffset>
            </wp:positionV>
            <wp:extent cx="4303395" cy="16116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033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Wild-Type KRAS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86360</wp:posOffset>
            </wp:positionV>
            <wp:extent cx="4320540" cy="13627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2054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line="220" w:lineRule="auto"/>
        <w:rPr>
          <w:sz w:val="20"/>
          <w:szCs w:val="20"/>
          <w:color w:val="auto"/>
        </w:rPr>
      </w:pPr>
      <w:r>
        <w:rPr>
          <w:rFonts w:ascii="Arial" w:cs="Arial" w:eastAsia="Arial" w:hAnsi="Arial"/>
          <w:sz w:val="13"/>
          <w:szCs w:val="13"/>
          <w:color w:val="auto"/>
        </w:rPr>
        <w:t xml:space="preserve">Anti-tumor activity of RMC-4630 (10 mg/kg, red) and cobimetinib (2.5 mg/kg, blue) dosed daily by oral administration (po, qd) as single agents or in combination (purple) in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gastric cancer PDX STO#332 wild-type KRAS amplification (KRAS Amp, CN = 4) xenograft models in mice.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mean tumor volume over time or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3"/>
          <w:szCs w:val="13"/>
          <w:b w:val="1"/>
          <w:bCs w:val="1"/>
          <w:color w:val="auto"/>
        </w:rPr>
        <w:t>d</w:t>
      </w:r>
      <w:r>
        <w:rPr>
          <w:rFonts w:ascii="Arial" w:cs="Arial" w:eastAsia="Arial" w:hAnsi="Arial"/>
          <w:sz w:val="13"/>
          <w:szCs w:val="13"/>
          <w:color w:val="auto"/>
        </w:rPr>
        <w:t xml:space="preserve">). In (a) and (c) data represent mean and errors bars represent standard error of the mean. Each animal represented as a separate bar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Number of animals per group = 10. Respective doses (in parentheses) of RMC-4630 (10 mg/kg) and cobimetinib (2.5 mg/kg) are lower than the corresponding maximally-tolerated dose for each agent. Numbers indicate number of regressions (defined as &gt; 10% reduction in tumor volume from starting volume) in each group.</w:t>
      </w:r>
    </w:p>
    <w:p>
      <w:pPr>
        <w:spacing w:after="0" w:line="10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10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In addition, two of our academic collaborators have demonstrated that tumors with KRAS</w:t>
      </w:r>
      <w:r>
        <w:rPr>
          <w:rFonts w:ascii="Arial" w:cs="Arial" w:eastAsia="Arial" w:hAnsi="Arial"/>
          <w:sz w:val="11"/>
          <w:szCs w:val="11"/>
          <w:color w:val="auto"/>
        </w:rPr>
        <w:t>G12D</w:t>
      </w:r>
      <w:r>
        <w:rPr>
          <w:rFonts w:ascii="Arial" w:cs="Arial" w:eastAsia="Arial" w:hAnsi="Arial"/>
          <w:sz w:val="18"/>
          <w:szCs w:val="18"/>
          <w:color w:val="auto"/>
        </w:rPr>
        <w:t xml:space="preserve"> or KRAS</w:t>
      </w:r>
      <w:r>
        <w:rPr>
          <w:rFonts w:ascii="Arial" w:cs="Arial" w:eastAsia="Arial" w:hAnsi="Arial"/>
          <w:sz w:val="11"/>
          <w:szCs w:val="11"/>
          <w:color w:val="auto"/>
        </w:rPr>
        <w:t>G13D</w:t>
      </w:r>
      <w:r>
        <w:rPr>
          <w:rFonts w:ascii="Arial" w:cs="Arial" w:eastAsia="Arial" w:hAnsi="Arial"/>
          <w:sz w:val="18"/>
          <w:szCs w:val="18"/>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100"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The combination of RMC-4630 and cobimetinib has been relatively well tolerated in preclinical studies. We have also sought to maximize potent anti-tumor activity of RMC-4630, and reduce potential side effects, by deploying an intermittent dosing schedule.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An academic collaborator has presented preclinical data on the combination of a SHP2 inhibitor and an ERK inhibitor, providing rationale for the potential clinical evaluation of the combination.</w:t>
      </w:r>
    </w:p>
    <w:p>
      <w:pPr>
        <w:spacing w:after="0" w:line="101"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Recently reported initial clinical results from two KRAS</w:t>
      </w:r>
      <w:r>
        <w:rPr>
          <w:rFonts w:ascii="Arial" w:cs="Arial" w:eastAsia="Arial" w:hAnsi="Arial"/>
          <w:sz w:val="11"/>
          <w:szCs w:val="11"/>
          <w:color w:val="auto"/>
        </w:rPr>
        <w:t>G12C</w:t>
      </w:r>
      <w:r>
        <w:rPr>
          <w:rFonts w:ascii="Arial" w:cs="Arial" w:eastAsia="Arial" w:hAnsi="Arial"/>
          <w:sz w:val="18"/>
          <w:szCs w:val="18"/>
          <w:color w:val="auto"/>
        </w:rPr>
        <w:t>(OFF) inhibitors suggest significant clinical benefit and provide strong pharmacologic validation of this oncoprotein as a cancer driver. Preclinical studies have demonstrated that KRAS</w:t>
      </w:r>
      <w:r>
        <w:rPr>
          <w:rFonts w:ascii="Arial" w:cs="Arial" w:eastAsia="Arial" w:hAnsi="Arial"/>
          <w:sz w:val="11"/>
          <w:szCs w:val="11"/>
          <w:color w:val="auto"/>
        </w:rPr>
        <w:t>G12C</w:t>
      </w:r>
      <w:r>
        <w:rPr>
          <w:rFonts w:ascii="Arial" w:cs="Arial" w:eastAsia="Arial" w:hAnsi="Arial"/>
          <w:sz w:val="18"/>
          <w:szCs w:val="18"/>
          <w:color w:val="auto"/>
        </w:rPr>
        <w:t>(OFF) inhibitors also cause a rapid increase in signaling through RTKs that are typically SHP2-dependent. Thus, the magnitude and durability of effect of an inhibitor of KRAS</w:t>
      </w:r>
      <w:r>
        <w:rPr>
          <w:rFonts w:ascii="Arial" w:cs="Arial" w:eastAsia="Arial" w:hAnsi="Arial"/>
          <w:sz w:val="11"/>
          <w:szCs w:val="11"/>
          <w:color w:val="auto"/>
        </w:rPr>
        <w:t>G12C</w:t>
      </w:r>
      <w:r>
        <w:rPr>
          <w:rFonts w:ascii="Arial" w:cs="Arial" w:eastAsia="Arial" w:hAnsi="Arial"/>
          <w:sz w:val="18"/>
          <w:szCs w:val="18"/>
          <w:color w:val="auto"/>
        </w:rPr>
        <w:t>(OFF) may be significantly increased when combined with a SHP2 inhibitor that disrupts signaling from the activated RTKs. Recent data have demonstrated that a combination of our proprietary SHP2 inhibitor with KRAS</w:t>
      </w:r>
      <w:r>
        <w:rPr>
          <w:rFonts w:ascii="Arial" w:cs="Arial" w:eastAsia="Arial" w:hAnsi="Arial"/>
          <w:sz w:val="11"/>
          <w:szCs w:val="11"/>
          <w:color w:val="auto"/>
        </w:rPr>
        <w:t>G12C</w:t>
      </w:r>
      <w:r>
        <w:rPr>
          <w:rFonts w:ascii="Arial" w:cs="Arial" w:eastAsia="Arial" w:hAnsi="Arial"/>
          <w:sz w:val="18"/>
          <w:szCs w:val="18"/>
          <w:color w:val="auto"/>
        </w:rPr>
        <w:t>(OFF) inhibitors can drive significant tumor regression in two distinct KRAS</w:t>
      </w:r>
      <w:r>
        <w:rPr>
          <w:rFonts w:ascii="Arial" w:cs="Arial" w:eastAsia="Arial" w:hAnsi="Arial"/>
          <w:sz w:val="11"/>
          <w:szCs w:val="11"/>
          <w:color w:val="auto"/>
        </w:rPr>
        <w:t>G12C</w:t>
      </w:r>
      <w:r>
        <w:rPr>
          <w:rFonts w:ascii="Arial" w:cs="Arial" w:eastAsia="Arial" w:hAnsi="Arial"/>
          <w:sz w:val="18"/>
          <w:szCs w:val="18"/>
          <w:color w:val="auto"/>
        </w:rPr>
        <w:t xml:space="preserve"> driven tumor models that exhibit only partial anti-tumor responses to either compound alone (Figure 4).</w:t>
      </w:r>
    </w:p>
    <w:p>
      <w:pPr>
        <w:spacing w:after="0" w:line="79" w:lineRule="exact"/>
        <w:rPr>
          <w:sz w:val="20"/>
          <w:szCs w:val="20"/>
          <w:color w:val="auto"/>
        </w:rPr>
      </w:pPr>
    </w:p>
    <w:p>
      <w:pPr>
        <w:ind w:left="120" w:right="140"/>
        <w:spacing w:after="0" w:line="264" w:lineRule="auto"/>
        <w:rPr>
          <w:sz w:val="20"/>
          <w:szCs w:val="20"/>
          <w:color w:val="auto"/>
        </w:rPr>
      </w:pPr>
      <w:r>
        <w:rPr>
          <w:rFonts w:ascii="Arial" w:cs="Arial" w:eastAsia="Arial" w:hAnsi="Arial"/>
          <w:sz w:val="18"/>
          <w:szCs w:val="18"/>
          <w:b w:val="1"/>
          <w:bCs w:val="1"/>
          <w:color w:val="auto"/>
        </w:rPr>
        <w:t>Figure 4</w:t>
      </w:r>
      <w:r>
        <w:rPr>
          <w:rFonts w:ascii="Arial" w:cs="Arial" w:eastAsia="Arial" w:hAnsi="Arial"/>
          <w:sz w:val="18"/>
          <w:szCs w:val="18"/>
          <w:color w:val="auto"/>
        </w:rPr>
        <w:t>: Combination benefit for SHP2 inhibitor and KRAS</w:t>
      </w:r>
      <w:r>
        <w:rPr>
          <w:rFonts w:ascii="Arial" w:cs="Arial" w:eastAsia="Arial" w:hAnsi="Arial"/>
          <w:sz w:val="11"/>
          <w:szCs w:val="11"/>
          <w:color w:val="auto"/>
        </w:rPr>
        <w:t>G12C</w:t>
      </w:r>
      <w:r>
        <w:rPr>
          <w:rFonts w:ascii="Arial" w:cs="Arial" w:eastAsia="Arial" w:hAnsi="Arial"/>
          <w:sz w:val="18"/>
          <w:szCs w:val="18"/>
          <w:color w:val="auto"/>
        </w:rPr>
        <w:t>(OFF) inhibitor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57150</wp:posOffset>
            </wp:positionV>
            <wp:extent cx="4663440" cy="2048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66344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line="186" w:lineRule="auto"/>
        <w:rPr>
          <w:sz w:val="20"/>
          <w:szCs w:val="20"/>
          <w:color w:val="auto"/>
        </w:rPr>
      </w:pPr>
      <w:r>
        <w:rPr>
          <w:rFonts w:ascii="Arial" w:cs="Arial" w:eastAsia="Arial" w:hAnsi="Arial"/>
          <w:sz w:val="12"/>
          <w:szCs w:val="12"/>
          <w:color w:val="auto"/>
        </w:rPr>
        <w:t xml:space="preserve">Anti-tumor activity of a representative SHP2 allosteric inhibitor (RMC-4550) and a KRAS </w:t>
      </w:r>
      <w:r>
        <w:rPr>
          <w:rFonts w:ascii="Arial" w:cs="Arial" w:eastAsia="Arial" w:hAnsi="Arial"/>
          <w:sz w:val="20"/>
          <w:szCs w:val="20"/>
          <w:color w:val="auto"/>
          <w:vertAlign w:val="superscript"/>
        </w:rPr>
        <w:t>G12C</w:t>
      </w:r>
      <w:r>
        <w:rPr>
          <w:rFonts w:ascii="Arial" w:cs="Arial" w:eastAsia="Arial" w:hAnsi="Arial"/>
          <w:sz w:val="12"/>
          <w:szCs w:val="12"/>
          <w:color w:val="auto"/>
        </w:rPr>
        <w:t xml:space="preserve">(OFF) inhibitor (MRTX849 or MRTX1257) dosed daily by oral administration (po, qd) as single agents or in combination in </w:t>
      </w:r>
      <w:r>
        <w:rPr>
          <w:rFonts w:ascii="Arial" w:cs="Arial" w:eastAsia="Arial" w:hAnsi="Arial"/>
          <w:sz w:val="12"/>
          <w:szCs w:val="12"/>
          <w:b w:val="1"/>
          <w:bCs w:val="1"/>
          <w:color w:val="auto"/>
        </w:rPr>
        <w:t>(a)</w:t>
      </w:r>
      <w:r>
        <w:rPr>
          <w:rFonts w:ascii="Arial" w:cs="Arial" w:eastAsia="Arial" w:hAnsi="Arial"/>
          <w:sz w:val="12"/>
          <w:szCs w:val="12"/>
          <w:color w:val="auto"/>
        </w:rPr>
        <w:t xml:space="preserve"> esophageal carcinoma KYSE-410 and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NCI-H358 KRAS</w:t>
      </w:r>
      <w:r>
        <w:rPr>
          <w:rFonts w:ascii="Arial" w:cs="Arial" w:eastAsia="Arial" w:hAnsi="Arial"/>
          <w:sz w:val="20"/>
          <w:szCs w:val="20"/>
          <w:color w:val="auto"/>
          <w:vertAlign w:val="superscript"/>
        </w:rPr>
        <w:t>G12C</w:t>
      </w:r>
      <w:r>
        <w:rPr>
          <w:rFonts w:ascii="Arial" w:cs="Arial" w:eastAsia="Arial" w:hAnsi="Arial"/>
          <w:sz w:val="12"/>
          <w:szCs w:val="12"/>
          <w:color w:val="auto"/>
        </w:rPr>
        <w:t xml:space="preserve"> cell line-derived xenograft models in mice. Data represent </w:t>
      </w:r>
      <w:r>
        <w:rPr>
          <w:rFonts w:ascii="Arial" w:cs="Arial" w:eastAsia="Arial" w:hAnsi="Arial"/>
          <w:sz w:val="12"/>
          <w:szCs w:val="12"/>
          <w:b w:val="1"/>
          <w:bCs w:val="1"/>
          <w:color w:val="auto"/>
        </w:rPr>
        <w:t>(a)</w:t>
      </w:r>
      <w:r>
        <w:rPr>
          <w:rFonts w:ascii="Arial" w:cs="Arial" w:eastAsia="Arial" w:hAnsi="Arial"/>
          <w:sz w:val="12"/>
          <w:szCs w:val="12"/>
          <w:color w:val="auto"/>
        </w:rPr>
        <w:t xml:space="preserve"> mean tumor volume over time or </w:t>
      </w:r>
      <w:r>
        <w:rPr>
          <w:rFonts w:ascii="Arial" w:cs="Arial" w:eastAsia="Arial" w:hAnsi="Arial"/>
          <w:sz w:val="12"/>
          <w:szCs w:val="12"/>
          <w:b w:val="1"/>
          <w:bCs w:val="1"/>
          <w:color w:val="auto"/>
        </w:rPr>
        <w:t>(b)</w:t>
      </w:r>
      <w:r>
        <w:rPr>
          <w:rFonts w:ascii="Arial" w:cs="Arial" w:eastAsia="Arial" w:hAnsi="Arial"/>
          <w:sz w:val="12"/>
          <w:szCs w:val="12"/>
          <w:color w:val="auto"/>
        </w:rPr>
        <w:t xml:space="preserve"> waterfall plot of individual end of study responses, with tumor volume expressed as a percentage of initial tumor volume at time of study start (truncated at</w:t>
      </w:r>
    </w:p>
    <w:p>
      <w:pPr>
        <w:spacing w:after="0" w:line="2" w:lineRule="exact"/>
        <w:rPr>
          <w:sz w:val="20"/>
          <w:szCs w:val="20"/>
          <w:color w:val="auto"/>
        </w:rPr>
      </w:pPr>
    </w:p>
    <w:p>
      <w:pPr>
        <w:ind w:left="120" w:right="220"/>
        <w:spacing w:after="0" w:line="214" w:lineRule="auto"/>
        <w:rPr>
          <w:sz w:val="20"/>
          <w:szCs w:val="20"/>
          <w:color w:val="auto"/>
        </w:rPr>
      </w:pPr>
      <w:r>
        <w:rPr>
          <w:rFonts w:ascii="Arial" w:cs="Arial" w:eastAsia="Arial" w:hAnsi="Arial"/>
          <w:sz w:val="13"/>
          <w:szCs w:val="13"/>
          <w:color w:val="auto"/>
        </w:rPr>
        <w:t xml:space="preserve">300%). Data in panel </w:t>
      </w:r>
      <w:r>
        <w:rPr>
          <w:rFonts w:ascii="Arial" w:cs="Arial" w:eastAsia="Arial" w:hAnsi="Arial"/>
          <w:sz w:val="13"/>
          <w:szCs w:val="13"/>
          <w:b w:val="1"/>
          <w:bCs w:val="1"/>
          <w:color w:val="auto"/>
        </w:rPr>
        <w:t>(a)</w:t>
      </w:r>
      <w:r>
        <w:rPr>
          <w:rFonts w:ascii="Arial" w:cs="Arial" w:eastAsia="Arial" w:hAnsi="Arial"/>
          <w:sz w:val="13"/>
          <w:szCs w:val="13"/>
          <w:color w:val="auto"/>
        </w:rPr>
        <w:t xml:space="preserve"> taken from an August 2019 Mirati corporate presentation; show evidence for tumor regressions, in addition to reduced rate of tumor regrowth after ‘dosing stopped’, for the SHP2 plus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(OFF) inhibitor combination group relative to either single agent group. For our data in panel </w:t>
      </w:r>
      <w:r>
        <w:rPr>
          <w:rFonts w:ascii="Arial" w:cs="Arial" w:eastAsia="Arial" w:hAnsi="Arial"/>
          <w:sz w:val="13"/>
          <w:szCs w:val="13"/>
          <w:b w:val="1"/>
          <w:bCs w:val="1"/>
          <w:color w:val="auto"/>
        </w:rPr>
        <w:t>(b)</w:t>
      </w:r>
      <w:r>
        <w:rPr>
          <w:rFonts w:ascii="Arial" w:cs="Arial" w:eastAsia="Arial" w:hAnsi="Arial"/>
          <w:sz w:val="13"/>
          <w:szCs w:val="13"/>
          <w:color w:val="auto"/>
        </w:rPr>
        <w:t xml:space="preserve"> each animal is represented as a separate bar (number of animals per group = 10).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22"/>
          <w:szCs w:val="22"/>
          <w:color w:val="auto"/>
          <w:vertAlign w:val="superscript"/>
        </w:rPr>
        <w:t>G12C</w:t>
      </w:r>
      <w:r>
        <w:rPr>
          <w:rFonts w:ascii="Arial" w:cs="Arial" w:eastAsia="Arial" w:hAnsi="Arial"/>
          <w:sz w:val="13"/>
          <w:szCs w:val="13"/>
          <w:color w:val="auto"/>
        </w:rPr>
        <w:t>(OFF) clinical candidate and MRTX1257 is a potent and selective KRAS</w:t>
      </w:r>
      <w:r>
        <w:rPr>
          <w:rFonts w:ascii="Arial" w:cs="Arial" w:eastAsia="Arial" w:hAnsi="Arial"/>
          <w:sz w:val="22"/>
          <w:szCs w:val="22"/>
          <w:color w:val="auto"/>
          <w:vertAlign w:val="superscript"/>
        </w:rPr>
        <w:t>G12C</w:t>
      </w:r>
      <w:r>
        <w:rPr>
          <w:rFonts w:ascii="Arial" w:cs="Arial" w:eastAsia="Arial" w:hAnsi="Arial"/>
          <w:sz w:val="13"/>
          <w:szCs w:val="13"/>
          <w:color w:val="auto"/>
        </w:rPr>
        <w:t>(OFF) inhibitor tool compound.</w:t>
      </w:r>
    </w:p>
    <w:p>
      <w:pPr>
        <w:spacing w:after="0" w:line="3"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103"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also inhibited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60"/>
        <w:spacing w:after="0" w:line="264" w:lineRule="auto"/>
        <w:rPr>
          <w:sz w:val="20"/>
          <w:szCs w:val="20"/>
          <w:color w:val="auto"/>
        </w:rPr>
      </w:pPr>
      <w:r>
        <w:rPr>
          <w:rFonts w:ascii="Arial" w:cs="Arial" w:eastAsia="Arial" w:hAnsi="Arial"/>
          <w:sz w:val="18"/>
          <w:szCs w:val="18"/>
          <w:b w:val="1"/>
          <w:bCs w:val="1"/>
          <w:color w:val="auto"/>
        </w:rPr>
        <w:t>Figure 5</w:t>
      </w:r>
      <w:r>
        <w:rPr>
          <w:rFonts w:ascii="Arial" w:cs="Arial" w:eastAsia="Arial" w:hAnsi="Arial"/>
          <w:sz w:val="18"/>
          <w:szCs w:val="18"/>
          <w:color w:val="auto"/>
        </w:rPr>
        <w:t>: Combination benefit for RMC-4630 and the EGFR inhibitor, osimertinib, in an EGFR</w:t>
      </w:r>
      <w:r>
        <w:rPr>
          <w:rFonts w:ascii="Arial" w:cs="Arial" w:eastAsia="Arial" w:hAnsi="Arial"/>
          <w:sz w:val="11"/>
          <w:szCs w:val="11"/>
          <w:color w:val="auto"/>
        </w:rPr>
        <w:t>L858R/T790M</w:t>
      </w:r>
      <w:r>
        <w:rPr>
          <w:rFonts w:ascii="Arial" w:cs="Arial" w:eastAsia="Arial" w:hAnsi="Arial"/>
          <w:sz w:val="18"/>
          <w:szCs w:val="18"/>
          <w:b w:val="1"/>
          <w:bCs w:val="1"/>
          <w:color w:val="auto"/>
        </w:rPr>
        <w:t xml:space="preserve"> </w:t>
      </w:r>
      <w:r>
        <w:rPr>
          <w:rFonts w:ascii="Arial" w:cs="Arial" w:eastAsia="Arial" w:hAnsi="Arial"/>
          <w:sz w:val="18"/>
          <w:szCs w:val="18"/>
          <w:color w:val="auto"/>
        </w:rPr>
        <w:t>osimertinib-sensitive NSCLC</w:t>
      </w:r>
      <w:r>
        <w:rPr>
          <w:rFonts w:ascii="Arial" w:cs="Arial" w:eastAsia="Arial" w:hAnsi="Arial"/>
          <w:sz w:val="18"/>
          <w:szCs w:val="18"/>
          <w:b w:val="1"/>
          <w:bCs w:val="1"/>
          <w:color w:val="auto"/>
        </w:rPr>
        <w:t xml:space="preserve"> </w:t>
      </w:r>
      <w:r>
        <w:rPr>
          <w:rFonts w:ascii="Arial" w:cs="Arial" w:eastAsia="Arial" w:hAnsi="Arial"/>
          <w:sz w:val="18"/>
          <w:szCs w:val="18"/>
          <w:color w:val="auto"/>
        </w:rPr>
        <w:t>xenograft model.</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EGFR</w:t>
      </w:r>
      <w:r>
        <w:rPr>
          <w:rFonts w:ascii="Arial" w:cs="Arial" w:eastAsia="Arial" w:hAnsi="Arial"/>
          <w:sz w:val="11"/>
          <w:szCs w:val="11"/>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86360</wp:posOffset>
            </wp:positionV>
            <wp:extent cx="4097655" cy="2228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0976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spacing w:after="0" w:line="213" w:lineRule="auto"/>
        <w:rPr>
          <w:sz w:val="20"/>
          <w:szCs w:val="20"/>
          <w:color w:val="auto"/>
        </w:rPr>
      </w:pPr>
      <w:r>
        <w:rPr>
          <w:rFonts w:ascii="Arial" w:cs="Arial" w:eastAsia="Arial" w:hAnsi="Arial"/>
          <w:sz w:val="13"/>
          <w:szCs w:val="13"/>
          <w:color w:val="auto"/>
        </w:rPr>
        <w:t xml:space="preserve">Anti-tumor activity of osimertinib (5 mg/kg) dosed daily by oral administration (po, qd) as a single agent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or in combination with RMC-4630 (30 mg/kg po, qd)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in NSCLC NCI-H1975 (EGFR</w:t>
      </w:r>
      <w:r>
        <w:rPr>
          <w:rFonts w:ascii="Arial" w:cs="Arial" w:eastAsia="Arial" w:hAnsi="Arial"/>
          <w:sz w:val="22"/>
          <w:szCs w:val="22"/>
          <w:color w:val="auto"/>
          <w:vertAlign w:val="superscript"/>
        </w:rPr>
        <w:t>L858R/T790M</w:t>
      </w:r>
      <w:r>
        <w:rPr>
          <w:rFonts w:ascii="Arial" w:cs="Arial" w:eastAsia="Arial" w:hAnsi="Arial"/>
          <w:sz w:val="13"/>
          <w:szCs w:val="13"/>
          <w:color w:val="auto"/>
        </w:rPr>
        <w:t xml:space="preserve">) cell line-derived xenograft model in mice. Graphs show tumor volume data for individual animals, expressed as a percentage of initial tumor volume at time of study start (number of animals per group =12). Horizontal dotted lines reference the starting tumor volume (0%) and a 50% reduction in tumor volume. Vertical dotted line marks time at which dosing was stopped. Panels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c)</w:t>
      </w:r>
      <w:r>
        <w:rPr>
          <w:rFonts w:ascii="Arial" w:cs="Arial" w:eastAsia="Arial" w:hAnsi="Arial"/>
          <w:sz w:val="13"/>
          <w:szCs w:val="13"/>
          <w:color w:val="auto"/>
        </w:rPr>
        <w:t xml:space="preserve"> show the same data as in </w:t>
      </w:r>
      <w:r>
        <w:rPr>
          <w:rFonts w:ascii="Arial" w:cs="Arial" w:eastAsia="Arial" w:hAnsi="Arial"/>
          <w:sz w:val="13"/>
          <w:szCs w:val="13"/>
          <w:b w:val="1"/>
          <w:bCs w:val="1"/>
          <w:color w:val="auto"/>
        </w:rPr>
        <w:t>(b</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up to the time point of dosing cessation but on an expanded time scale.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r>
        <w:rPr>
          <w:rFonts w:ascii="Arial" w:cs="Arial" w:eastAsia="Arial" w:hAnsi="Arial"/>
          <w:sz w:val="18"/>
          <w:szCs w:val="18"/>
          <w:color w:val="auto"/>
        </w:rPr>
        <w:t>: RMC-4630 suppresses tumor growth in an osimertinib-resistant NSCLC patient-derived xenograft model</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(EGFR</w:t>
      </w:r>
      <w:r>
        <w:rPr>
          <w:rFonts w:ascii="Arial" w:cs="Arial" w:eastAsia="Arial" w:hAnsi="Arial"/>
          <w:sz w:val="11"/>
          <w:szCs w:val="11"/>
          <w:color w:val="auto"/>
        </w:rPr>
        <w:t>L858R/T790</w:t>
      </w:r>
      <w:r>
        <w:rPr>
          <w:rFonts w:ascii="Arial" w:cs="Arial" w:eastAsia="Arial" w:hAnsi="Arial"/>
          <w:sz w:val="18"/>
          <w:szCs w:val="18"/>
          <w:color w:val="auto"/>
        </w:rPr>
        <w:t>/MET</w:t>
      </w:r>
      <w:r>
        <w:rPr>
          <w:rFonts w:ascii="Arial" w:cs="Arial" w:eastAsia="Arial" w:hAnsi="Arial"/>
          <w:sz w:val="11"/>
          <w:szCs w:val="11"/>
          <w:color w:val="auto"/>
        </w:rPr>
        <w:t>amplified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72390</wp:posOffset>
            </wp:positionV>
            <wp:extent cx="2682875" cy="2168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8287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right="40"/>
        <w:spacing w:after="0" w:line="187" w:lineRule="auto"/>
        <w:rPr>
          <w:sz w:val="20"/>
          <w:szCs w:val="20"/>
          <w:color w:val="auto"/>
        </w:rPr>
      </w:pPr>
      <w:r>
        <w:rPr>
          <w:rFonts w:ascii="Arial" w:cs="Arial" w:eastAsia="Arial" w:hAnsi="Arial"/>
          <w:sz w:val="13"/>
          <w:szCs w:val="13"/>
          <w:color w:val="auto"/>
        </w:rPr>
        <w:t>Daily oral administration of RMC-4630 (30 mg/kg po, qd) inhibits tumor growth in an osimertinib-resistant NSCLC patient-derived xenograft model (EGFR</w:t>
      </w:r>
      <w:r>
        <w:rPr>
          <w:rFonts w:ascii="Arial" w:cs="Arial" w:eastAsia="Arial" w:hAnsi="Arial"/>
          <w:sz w:val="22"/>
          <w:szCs w:val="22"/>
          <w:color w:val="auto"/>
          <w:vertAlign w:val="superscript"/>
        </w:rPr>
        <w:t>L858R/T790</w:t>
      </w:r>
      <w:r>
        <w:rPr>
          <w:rFonts w:ascii="Arial" w:cs="Arial" w:eastAsia="Arial" w:hAnsi="Arial"/>
          <w:sz w:val="13"/>
          <w:szCs w:val="13"/>
          <w:color w:val="auto"/>
        </w:rPr>
        <w:t>/MET</w:t>
      </w:r>
      <w:r>
        <w:rPr>
          <w:rFonts w:ascii="Arial" w:cs="Arial" w:eastAsia="Arial" w:hAnsi="Arial"/>
          <w:sz w:val="22"/>
          <w:szCs w:val="22"/>
          <w:color w:val="auto"/>
          <w:vertAlign w:val="superscript"/>
        </w:rPr>
        <w:t>amplified</w:t>
      </w:r>
      <w:r>
        <w:rPr>
          <w:rFonts w:ascii="Arial" w:cs="Arial" w:eastAsia="Arial" w:hAnsi="Arial"/>
          <w:sz w:val="13"/>
          <w:szCs w:val="13"/>
          <w:color w:val="auto"/>
        </w:rPr>
        <w:t>) wherein the EGFR</w:t>
      </w:r>
      <w:r>
        <w:rPr>
          <w:rFonts w:ascii="Arial" w:cs="Arial" w:eastAsia="Arial" w:hAnsi="Arial"/>
          <w:sz w:val="22"/>
          <w:szCs w:val="22"/>
          <w:color w:val="auto"/>
          <w:vertAlign w:val="superscript"/>
        </w:rPr>
        <w:t>T790M</w:t>
      </w:r>
      <w:r>
        <w:rPr>
          <w:rFonts w:ascii="Arial" w:cs="Arial" w:eastAsia="Arial" w:hAnsi="Arial"/>
          <w:sz w:val="13"/>
          <w:szCs w:val="13"/>
          <w:color w:val="auto"/>
        </w:rPr>
        <w:t xml:space="preserve"> allele was no longer detected and the patient tumor exhibited genomic amplification of the MET receptor tyrosine kinase. The human tumor xenograft model was implanted in immune deficient mice. Data represent mean and errors bars represent standard error of the mean. Number of animals per group = 10. Osimertinib 25 mg/kg, 5 days on/2 days off had no significant impact on tumor growth as anticipated.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Rationale for combining with immune checkpoint inhibitors</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 xml:space="preserve">Immune checkpoint inhibitors, such as inhibitors of PD-1, have been useful against a variety of tumor types, including melanomas, breast and lung cancers, certain types of colon cancer and bladder cancers. It has been proposed in the scientific literature that SHP2 interacts with the PD-1 receptor and mediates at least part of its immune suppressive signals. We have observed that SHP2 inhibition phenocopies some of the effects of PD-1 blockade in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including activation of CD8+ T-cells.</w:t>
      </w:r>
    </w:p>
    <w:p>
      <w:pPr>
        <w:spacing w:after="0" w:line="82"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 xml:space="preserve">In addition to these effects, we have also observed that SHP2 inhibition inhibits the viability of pro-tumorigenic (M2) macrophages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 effect not observed with PD-1 inhibitors. In the tumor microenvironment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SHP2 inhibition reduced the number of M2 macrophages while also promoting increases in the anti-tumor M1 macrophages population, effects not observed with checkpoint inhibitors. Therefore, RMC-4630 may increase the ability of the innate and adaptive arms of the immune system to control or even eradicate cancer cells. These findings point to the potential for a dual mechanism of action of SHP2 inhibitors with both tumor cell intrinsic and anti-tumor immunity effects (Figure 7a).</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7a. </w:t>
      </w:r>
      <w:r>
        <w:rPr>
          <w:rFonts w:ascii="Arial" w:cs="Arial" w:eastAsia="Arial" w:hAnsi="Arial"/>
          <w:sz w:val="18"/>
          <w:szCs w:val="18"/>
          <w:color w:val="auto"/>
        </w:rPr>
        <w:t>SHP2 Inhibitor Promotes Anti-Tumor Responses via Effects on Innate and Adaptive Immunity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86360</wp:posOffset>
            </wp:positionV>
            <wp:extent cx="3634740" cy="2177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347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line="242" w:lineRule="auto"/>
        <w:rPr>
          <w:sz w:val="20"/>
          <w:szCs w:val="20"/>
          <w:color w:val="auto"/>
        </w:rPr>
      </w:pPr>
      <w:r>
        <w:rPr>
          <w:rFonts w:ascii="Arial" w:cs="Arial" w:eastAsia="Arial" w:hAnsi="Arial"/>
          <w:sz w:val="13"/>
          <w:szCs w:val="13"/>
          <w:color w:val="auto"/>
        </w:rPr>
        <w:t>SHP2 is an established signaling node downstream of RTKs in the RAS growth and survival pathway and inhibition of SHP2 can block growth of cancer cells with certain oncogenic drivers in the RAS pathway. SHP2 also participates in signal transduction downstream of regulatory immunoreceptors. Inhibition of SHP2 drives anti-tumor immunity through modulation of both innate and adaptive mechanisms in preclinical models: direct and selective depletion of M2 pro-tumorigenic macrophages through attenuation of CSF-1R signaling and blockade of inhibitory (PD-1) signaling in CD8+T cells. Collectively, these mechanisms contribute to generate a less immunosuppressive environment and one that favors tumor cell elimination. In those cancers with aberrant RAS pathway activation, which are intrinsically sensitive to SHP2 inhibition, the ultimate impact on tumor cell growth may reflect integration of both the targeted tumor cell intrinsic and anti-tumor immunity mechanisms.</w:t>
      </w:r>
    </w:p>
    <w:p>
      <w:pPr>
        <w:spacing w:after="0" w:line="98"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7b). The combination produced deep and durable tumor growth inhibition, with complete tumor regressions and sustained immunological memory in some mice.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40"/>
        <w:spacing w:after="0" w:line="405" w:lineRule="auto"/>
        <w:rPr>
          <w:sz w:val="20"/>
          <w:szCs w:val="20"/>
          <w:color w:val="auto"/>
        </w:rPr>
      </w:pPr>
      <w:r>
        <w:rPr>
          <w:rFonts w:ascii="Arial" w:cs="Arial" w:eastAsia="Arial" w:hAnsi="Arial"/>
          <w:sz w:val="18"/>
          <w:szCs w:val="18"/>
          <w:b w:val="1"/>
          <w:bCs w:val="1"/>
          <w:color w:val="auto"/>
        </w:rPr>
        <w:t>Figure 7b</w:t>
      </w:r>
      <w:r>
        <w:rPr>
          <w:rFonts w:ascii="Arial" w:cs="Arial" w:eastAsia="Arial" w:hAnsi="Arial"/>
          <w:sz w:val="18"/>
          <w:szCs w:val="18"/>
          <w:color w:val="auto"/>
        </w:rPr>
        <w:t>: Anti-tumor effects of SHP2 inhibition alone and in combination with PD–1 checkpoint blockade in the EMT6 syngeneic model.</w:t>
      </w:r>
      <w:r>
        <w:rPr>
          <w:rFonts w:ascii="Arial" w:cs="Arial" w:eastAsia="Arial" w:hAnsi="Arial"/>
          <w:sz w:val="18"/>
          <w:szCs w:val="18"/>
          <w:b w:val="1"/>
          <w:bCs w:val="1"/>
          <w:color w:val="auto"/>
        </w:rPr>
        <w:t xml:space="preserve"> 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-19685</wp:posOffset>
            </wp:positionV>
            <wp:extent cx="4389120" cy="2228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8912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line="213" w:lineRule="auto"/>
        <w:rPr>
          <w:sz w:val="20"/>
          <w:szCs w:val="20"/>
          <w:color w:val="auto"/>
        </w:rPr>
      </w:pPr>
      <w:r>
        <w:rPr>
          <w:rFonts w:ascii="Arial" w:cs="Arial" w:eastAsia="Arial" w:hAnsi="Arial"/>
          <w:sz w:val="13"/>
          <w:szCs w:val="13"/>
          <w:color w:val="auto"/>
        </w:rPr>
        <w:t xml:space="preserve">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 </w:t>
      </w:r>
      <w:r>
        <w:rPr>
          <w:rFonts w:ascii="Arial" w:cs="Arial" w:eastAsia="Arial" w:hAnsi="Arial"/>
          <w:sz w:val="13"/>
          <w:szCs w:val="13"/>
          <w:b w:val="1"/>
          <w:bCs w:val="1"/>
          <w:color w:val="auto"/>
        </w:rPr>
        <w:t>(a)</w:t>
      </w:r>
      <w:r>
        <w:rPr>
          <w:rFonts w:ascii="Arial" w:cs="Arial" w:eastAsia="Arial" w:hAnsi="Arial"/>
          <w:sz w:val="13"/>
          <w:szCs w:val="13"/>
          <w:color w:val="auto"/>
        </w:rPr>
        <w:t xml:space="preserve"> tumor growth of individual mice for each experimental group and </w:t>
      </w:r>
      <w:r>
        <w:rPr>
          <w:rFonts w:ascii="Arial" w:cs="Arial" w:eastAsia="Arial" w:hAnsi="Arial"/>
          <w:sz w:val="13"/>
          <w:szCs w:val="13"/>
          <w:b w:val="1"/>
          <w:bCs w:val="1"/>
          <w:color w:val="auto"/>
        </w:rPr>
        <w:t>(b)</w:t>
      </w:r>
      <w:r>
        <w:rPr>
          <w:rFonts w:ascii="Arial" w:cs="Arial" w:eastAsia="Arial" w:hAnsi="Arial"/>
          <w:sz w:val="13"/>
          <w:szCs w:val="13"/>
          <w:color w:val="auto"/>
        </w:rPr>
        <w:t xml:space="preserve"> Kaplan–Meier curves showing percentage of animals with tumor burden &lt; 2000 mm</w:t>
      </w:r>
      <w:r>
        <w:rPr>
          <w:rFonts w:ascii="Arial" w:cs="Arial" w:eastAsia="Arial" w:hAnsi="Arial"/>
          <w:sz w:val="22"/>
          <w:szCs w:val="22"/>
          <w:color w:val="auto"/>
          <w:vertAlign w:val="superscript"/>
        </w:rPr>
        <w:t>3</w:t>
      </w:r>
      <w:r>
        <w:rPr>
          <w:rFonts w:ascii="Arial" w:cs="Arial" w:eastAsia="Arial" w:hAnsi="Arial"/>
          <w:sz w:val="13"/>
          <w:szCs w:val="13"/>
          <w:color w:val="auto"/>
        </w:rPr>
        <w:t xml:space="preserve"> in each treatment group for the duration of the study. RMC-4550 is a potent and selective SHP2 allosteric inhibitor tool compound. Number of animals per group = 10.</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strategy</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summary, preclinical research suggests that RMC-4630 has the potential to cause significant anti-tumor effects:</w:t>
      </w:r>
    </w:p>
    <w:p>
      <w:pPr>
        <w:spacing w:after="0" w:line="117"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tumors harboring certain mutations of the RAS signaling pathway;</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 administered at high doses on an intermittent basis;</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 given in combination with other targeted anti-cancer agents such as inhibitors of MEK, EGFR or mutated KRAS, such as KRAS</w:t>
      </w:r>
      <w:r>
        <w:rPr>
          <w:rFonts w:ascii="Arial" w:cs="Arial" w:eastAsia="Arial" w:hAnsi="Arial"/>
          <w:sz w:val="11"/>
          <w:szCs w:val="11"/>
          <w:color w:val="auto"/>
        </w:rPr>
        <w:t>G12C</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both the direct effects of SHP2 inhibition on cancer cells with RAS pathway mutations and activation of the immune system occur concurrently, which may be heightened through combination with a PD–1 inhibitor.</w:t>
      </w:r>
    </w:p>
    <w:p>
      <w:pPr>
        <w:spacing w:after="0" w:line="101"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 (Figure 8).</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168275</wp:posOffset>
            </wp:positionV>
            <wp:extent cx="5186045" cy="2177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8604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Phase 1/2 clinical program</w:t>
      </w:r>
    </w:p>
    <w:p>
      <w:pPr>
        <w:spacing w:after="0" w:line="122" w:lineRule="exact"/>
        <w:rPr>
          <w:sz w:val="20"/>
          <w:szCs w:val="20"/>
          <w:color w:val="auto"/>
        </w:rPr>
      </w:pPr>
    </w:p>
    <w:p>
      <w:pPr>
        <w:ind w:left="120" w:right="180"/>
        <w:spacing w:after="0" w:line="239" w:lineRule="auto"/>
        <w:rPr>
          <w:sz w:val="20"/>
          <w:szCs w:val="20"/>
          <w:color w:val="auto"/>
        </w:rPr>
      </w:pPr>
      <w:r>
        <w:rPr>
          <w:rFonts w:ascii="Arial" w:cs="Arial" w:eastAsia="Arial" w:hAnsi="Arial"/>
          <w:sz w:val="18"/>
          <w:szCs w:val="18"/>
          <w:color w:val="auto"/>
        </w:rPr>
        <w:t>In collaboration with Sanofi, we are evaluating RMC-4630 in a multi-cohort Phase 1/2 clinical program. This RMC-4630 Phase 1/2 program currently consists of four active clinical trials:</w:t>
      </w:r>
    </w:p>
    <w:p>
      <w:pPr>
        <w:spacing w:after="0" w:line="114"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RMC-4630-01, a Phase 1 study of RMC-4630 as a single agent,</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RMC-4630-02, a Phase 1b/2 study of RMC-4630 in combination with the MEK inhibitor cobimetinib, and</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Phase 1b study of RMC-4630 in combination with the KRAS</w:t>
      </w:r>
      <w:r>
        <w:rPr>
          <w:rFonts w:ascii="Arial" w:cs="Arial" w:eastAsia="Arial" w:hAnsi="Arial"/>
          <w:sz w:val="11"/>
          <w:szCs w:val="11"/>
          <w:color w:val="auto"/>
        </w:rPr>
        <w:t>G12C</w:t>
      </w:r>
      <w:r>
        <w:rPr>
          <w:rFonts w:ascii="Arial" w:cs="Arial" w:eastAsia="Arial" w:hAnsi="Arial"/>
          <w:sz w:val="18"/>
          <w:szCs w:val="18"/>
          <w:color w:val="auto"/>
        </w:rPr>
        <w:t>(OFF) inhibitor sotorasib, being conducted by Amgen as one arm of its CodeBreaK 101 study,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Sanofi’s ongoing Phase 1 study of RMC-4630 in combination with the PD-1 inhibitor pembrolizumab.</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RMC-4630-01 study of single agent RMC-4630 in patients with advanced solid tumors</w:t>
      </w:r>
    </w:p>
    <w:p>
      <w:pPr>
        <w:spacing w:after="0" w:line="122"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RMC-4630-01 is a Phase 1 study in patients with advanced cancers, including those with tumors harboring genetically defined mutations in the RAS signaling pathway, that is evaluating the safety, pharmacokinetics and pharmacodynamic effects of RMC-4630 as a single agent under two different dose administration schedules: daily and twice weekly dosing. A preliminary evaluation of anti-tumor activity is also being made in patients who have tumors harboring mutations in the RAS pathway that are predicted to be sensitive to SHP2 inhibition, including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G12A</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and BRAF</w:t>
      </w:r>
      <w:r>
        <w:rPr>
          <w:rFonts w:ascii="Arial" w:cs="Arial" w:eastAsia="Arial" w:hAnsi="Arial"/>
          <w:sz w:val="11"/>
          <w:szCs w:val="11"/>
          <w:color w:val="auto"/>
        </w:rPr>
        <w:t>Class3</w:t>
      </w:r>
      <w:r>
        <w:rPr>
          <w:rFonts w:ascii="Arial" w:cs="Arial" w:eastAsia="Arial" w:hAnsi="Arial"/>
          <w:sz w:val="18"/>
          <w:szCs w:val="18"/>
          <w:color w:val="auto"/>
        </w:rPr>
        <w:t xml:space="preserve"> and others (e.g., KRAS</w:t>
      </w:r>
      <w:r>
        <w:rPr>
          <w:rFonts w:ascii="Arial" w:cs="Arial" w:eastAsia="Arial" w:hAnsi="Arial"/>
          <w:sz w:val="11"/>
          <w:szCs w:val="11"/>
          <w:color w:val="auto"/>
        </w:rPr>
        <w:t>amp</w:t>
      </w:r>
      <w:r>
        <w:rPr>
          <w:rFonts w:ascii="Arial" w:cs="Arial" w:eastAsia="Arial" w:hAnsi="Arial"/>
          <w:sz w:val="18"/>
          <w:szCs w:val="18"/>
          <w:color w:val="auto"/>
        </w:rPr>
        <w:t>).</w:t>
      </w:r>
    </w:p>
    <w:p>
      <w:pPr>
        <w:spacing w:after="0" w:line="103" w:lineRule="exact"/>
        <w:rPr>
          <w:sz w:val="20"/>
          <w:szCs w:val="20"/>
          <w:color w:val="auto"/>
        </w:rPr>
      </w:pPr>
    </w:p>
    <w:p>
      <w:pPr>
        <w:ind w:left="120" w:right="300"/>
        <w:spacing w:after="0" w:line="237" w:lineRule="auto"/>
        <w:rPr>
          <w:sz w:val="20"/>
          <w:szCs w:val="20"/>
          <w:color w:val="auto"/>
        </w:rPr>
      </w:pPr>
      <w:r>
        <w:rPr>
          <w:rFonts w:ascii="Arial" w:cs="Arial" w:eastAsia="Arial" w:hAnsi="Arial"/>
          <w:sz w:val="18"/>
          <w:szCs w:val="18"/>
          <w:color w:val="auto"/>
        </w:rPr>
        <w:t>The RMC-4630-01 study has been designed to evaluate different schedules: a daily dosing schedule and two different intermittent dosing schedules (Day 1 and Day 4 of each week, and Day 1 and Day 2 of each week). The intermittent schedules were intended to achieve intermittent target coverage which, in preclinical models, was associated with similar or superior activity and better tolerability. The RMC-4630-01 trial is currently being conducted at 12 clinical study sites in the United States.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data cut-off on May 4, 2020, we reported the following preliminary data from RMC-4630-01:</w:t>
      </w:r>
    </w:p>
    <w:p>
      <w:pPr>
        <w:spacing w:after="0" w:line="10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 RMC-4630-01, 87 patients had been enrolled and had received study drug and were evaluable for safety: 38 with the intermittent schedule and 49 with the daily schedule (Tables 1, 5 and 7).</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Dose escalation has been completed for the daily dosing schedule and for the intermittent weekly D1,D4 schedule. Dose escalation continues using the intermittent weekly D1,D2 schedule.</w:t>
      </w:r>
    </w:p>
    <w:p>
      <w:pPr>
        <w:spacing w:after="0" w:line="101" w:lineRule="exact"/>
        <w:rPr>
          <w:sz w:val="20"/>
          <w:szCs w:val="20"/>
          <w:color w:val="auto"/>
        </w:rPr>
      </w:pPr>
    </w:p>
    <w:p>
      <w:pPr>
        <w:ind w:left="120" w:right="60"/>
        <w:spacing w:after="0" w:line="299" w:lineRule="auto"/>
        <w:rPr>
          <w:sz w:val="20"/>
          <w:szCs w:val="20"/>
          <w:color w:val="auto"/>
        </w:rPr>
      </w:pPr>
      <w:r>
        <w:rPr>
          <w:rFonts w:ascii="Arial" w:cs="Arial" w:eastAsia="Arial" w:hAnsi="Arial"/>
          <w:sz w:val="16"/>
          <w:szCs w:val="16"/>
          <w:color w:val="auto"/>
        </w:rPr>
        <w:t>Preliminary data suggest improved tolerability of the intermittent dosing schedules versus daily dosing. Therefore, safety, tolerability and pharmacokinetic data for patients treated with the intermittent schedules are reported separately from patients treated with the daily schedule.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safety and tolerability – intermittent dosing schedules</w:t>
      </w:r>
    </w:p>
    <w:p>
      <w:pPr>
        <w:spacing w:after="0" w:line="122"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31 patients have been dosed with the intermittent weekly D1,D4 schedule and 7 patients have been dosed with the weekly D1,D2 schedule. Across both intermittent schedules 38 patients have been evaluated for safety after a median RMC-4630 exposure of 1.8 months (range 0.2-10.6 months). Demographic and baseline characteristics information is shown in Table 1.</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1</w:t>
      </w:r>
      <w:r>
        <w:rPr>
          <w:rFonts w:ascii="Arial" w:cs="Arial" w:eastAsia="Arial" w:hAnsi="Arial"/>
          <w:sz w:val="18"/>
          <w:szCs w:val="18"/>
          <w:color w:val="auto"/>
        </w:rPr>
        <w:t>: Demographics and baseline characteristics—intermittent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b w:val="1"/>
                <w:bCs w:val="1"/>
                <w:color w:val="auto"/>
              </w:rPr>
              <w:t>140 mg</w:t>
            </w:r>
          </w:p>
        </w:tc>
        <w:tc>
          <w:tcPr>
            <w:tcW w:w="560" w:type="dxa"/>
            <w:vAlign w:val="bottom"/>
          </w:tcPr>
          <w:p>
            <w:pPr>
              <w:spacing w:after="0"/>
              <w:rPr>
                <w:sz w:val="17"/>
                <w:szCs w:val="17"/>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200 mg</w:t>
            </w:r>
          </w:p>
        </w:tc>
        <w:tc>
          <w:tcPr>
            <w:tcW w:w="1320" w:type="dxa"/>
            <w:vAlign w:val="bottom"/>
          </w:tcPr>
          <w:p>
            <w:pPr>
              <w:jc w:val="right"/>
              <w:ind w:right="112"/>
              <w:spacing w:after="0"/>
              <w:rPr>
                <w:sz w:val="20"/>
                <w:szCs w:val="20"/>
                <w:color w:val="auto"/>
              </w:rPr>
            </w:pPr>
            <w:r>
              <w:rPr>
                <w:rFonts w:ascii="Arial" w:cs="Arial" w:eastAsia="Arial" w:hAnsi="Arial"/>
                <w:sz w:val="18"/>
                <w:szCs w:val="18"/>
                <w:b w:val="1"/>
                <w:bCs w:val="1"/>
                <w:color w:val="auto"/>
              </w:rPr>
              <w:t>240 mg</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200 mg</w:t>
            </w:r>
          </w:p>
        </w:tc>
        <w:tc>
          <w:tcPr>
            <w:tcW w:w="1200" w:type="dxa"/>
            <w:vAlign w:val="bottom"/>
            <w:gridSpan w:val="2"/>
          </w:tcPr>
          <w:p>
            <w:pPr>
              <w:ind w:left="520"/>
              <w:spacing w:after="0"/>
              <w:rPr>
                <w:sz w:val="20"/>
                <w:szCs w:val="20"/>
                <w:color w:val="auto"/>
              </w:rPr>
            </w:pPr>
            <w:r>
              <w:rPr>
                <w:rFonts w:ascii="Arial" w:cs="Arial" w:eastAsia="Arial" w:hAnsi="Arial"/>
                <w:sz w:val="18"/>
                <w:szCs w:val="18"/>
                <w:b w:val="1"/>
                <w:bCs w:val="1"/>
                <w:color w:val="auto"/>
              </w:rPr>
              <w:t>240 mg</w:t>
            </w:r>
          </w:p>
        </w:tc>
      </w:tr>
      <w:tr>
        <w:trPr>
          <w:trHeight w:val="221"/>
        </w:trPr>
        <w:tc>
          <w:tcPr>
            <w:tcW w:w="4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D1D4 (N=8)</w:t>
            </w:r>
          </w:p>
        </w:tc>
        <w:tc>
          <w:tcPr>
            <w:tcW w:w="13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rPr>
              <w:t>D1D4 (N=18)</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D1D4 (N=5)</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D1D2 (N=4)</w:t>
            </w: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D1D2 (N=3)</w:t>
            </w: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Age, median (range)</w:t>
            </w:r>
          </w:p>
        </w:tc>
        <w:tc>
          <w:tcPr>
            <w:tcW w:w="15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63 (47-82)</w:t>
            </w:r>
          </w:p>
        </w:tc>
        <w:tc>
          <w:tcPr>
            <w:tcW w:w="1380" w:type="dxa"/>
            <w:vAlign w:val="bottom"/>
            <w:gridSpan w:val="2"/>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66.5 (24-38)</w:t>
            </w:r>
          </w:p>
        </w:tc>
        <w:tc>
          <w:tcPr>
            <w:tcW w:w="13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65 (58-79)</w:t>
            </w:r>
          </w:p>
        </w:tc>
        <w:tc>
          <w:tcPr>
            <w:tcW w:w="136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59.5 (59-77)</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 (62-77)</w:t>
            </w:r>
          </w:p>
        </w:tc>
        <w:tc>
          <w:tcPr>
            <w:tcW w:w="80" w:type="dxa"/>
            <w:vAlign w:val="bottom"/>
            <w:shd w:val="clear" w:color="auto" w:fill="CCEEFF"/>
          </w:tcPr>
          <w:p>
            <w:pPr>
              <w:spacing w:after="0"/>
              <w:rPr>
                <w:sz w:val="17"/>
                <w:szCs w:val="17"/>
                <w:color w:val="auto"/>
              </w:rPr>
            </w:pPr>
          </w:p>
        </w:tc>
      </w:tr>
      <w:tr>
        <w:trPr>
          <w:trHeight w:val="214"/>
        </w:trPr>
        <w:tc>
          <w:tcPr>
            <w:tcW w:w="4260" w:type="dxa"/>
            <w:vAlign w:val="bottom"/>
          </w:tcPr>
          <w:p>
            <w:pPr>
              <w:spacing w:after="0"/>
              <w:rPr>
                <w:sz w:val="20"/>
                <w:szCs w:val="20"/>
                <w:color w:val="auto"/>
              </w:rPr>
            </w:pPr>
            <w:r>
              <w:rPr>
                <w:rFonts w:ascii="Arial" w:cs="Arial" w:eastAsia="Arial" w:hAnsi="Arial"/>
                <w:sz w:val="18"/>
                <w:szCs w:val="18"/>
                <w:color w:val="auto"/>
              </w:rPr>
              <w:t>Male (%)</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 (50.0%)</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(44.4%)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 (20.0%)</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3 (75.0%)</w:t>
            </w:r>
          </w:p>
        </w:tc>
        <w:tc>
          <w:tcPr>
            <w:tcW w:w="1120" w:type="dxa"/>
            <w:vAlign w:val="bottom"/>
          </w:tcPr>
          <w:p>
            <w:pPr>
              <w:jc w:val="right"/>
              <w:spacing w:after="0"/>
              <w:rPr>
                <w:sz w:val="20"/>
                <w:szCs w:val="20"/>
                <w:color w:val="auto"/>
              </w:rPr>
            </w:pPr>
            <w:r>
              <w:rPr>
                <w:rFonts w:ascii="Arial" w:cs="Arial" w:eastAsia="Arial" w:hAnsi="Arial"/>
                <w:sz w:val="18"/>
                <w:szCs w:val="18"/>
                <w:color w:val="auto"/>
              </w:rPr>
              <w:t>1 (33.3%)</w:t>
            </w:r>
          </w:p>
        </w:tc>
        <w:tc>
          <w:tcPr>
            <w:tcW w:w="80" w:type="dxa"/>
            <w:vAlign w:val="bottom"/>
          </w:tcPr>
          <w:p>
            <w:pPr>
              <w:spacing w:after="0"/>
              <w:rPr>
                <w:sz w:val="18"/>
                <w:szCs w:val="18"/>
                <w:color w:val="auto"/>
              </w:rPr>
            </w:pPr>
          </w:p>
        </w:tc>
      </w:tr>
      <w:tr>
        <w:trPr>
          <w:trHeight w:val="56"/>
        </w:trPr>
        <w:tc>
          <w:tcPr>
            <w:tcW w:w="4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1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Lung (%)</w:t>
            </w:r>
          </w:p>
        </w:tc>
        <w:tc>
          <w:tcPr>
            <w:tcW w:w="15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 (62.5%)</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(72.2%)</w:t>
            </w:r>
          </w:p>
        </w:tc>
        <w:tc>
          <w:tcPr>
            <w:tcW w:w="13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 (60.0%)</w:t>
            </w:r>
          </w:p>
        </w:tc>
        <w:tc>
          <w:tcPr>
            <w:tcW w:w="13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 (50.0%)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 (66.7%)</w:t>
            </w:r>
          </w:p>
        </w:tc>
        <w:tc>
          <w:tcPr>
            <w:tcW w:w="80" w:type="dxa"/>
            <w:vAlign w:val="bottom"/>
          </w:tcPr>
          <w:p>
            <w:pPr>
              <w:spacing w:after="0"/>
              <w:rPr>
                <w:sz w:val="17"/>
                <w:szCs w:val="17"/>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Colon and/or Rectal (%)</w:t>
            </w:r>
          </w:p>
        </w:tc>
        <w:tc>
          <w:tcPr>
            <w:tcW w:w="150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0</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(11.1%)</w:t>
            </w:r>
          </w:p>
        </w:tc>
        <w:tc>
          <w:tcPr>
            <w:tcW w:w="13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 (20.0%)</w:t>
            </w:r>
          </w:p>
        </w:tc>
        <w:tc>
          <w:tcPr>
            <w:tcW w:w="13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 (50.0%)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(33.3%)</w:t>
            </w:r>
          </w:p>
        </w:tc>
        <w:tc>
          <w:tcPr>
            <w:tcW w:w="80" w:type="dxa"/>
            <w:vAlign w:val="bottom"/>
            <w:shd w:val="clear" w:color="auto" w:fill="CCEEFF"/>
          </w:tcPr>
          <w:p>
            <w:pPr>
              <w:spacing w:after="0"/>
              <w:rPr>
                <w:sz w:val="17"/>
                <w:szCs w:val="17"/>
                <w:color w:val="auto"/>
              </w:rPr>
            </w:pPr>
          </w:p>
        </w:tc>
      </w:tr>
      <w:tr>
        <w:trPr>
          <w:trHeight w:val="214"/>
        </w:trPr>
        <w:tc>
          <w:tcPr>
            <w:tcW w:w="4260" w:type="dxa"/>
            <w:vAlign w:val="bottom"/>
          </w:tcPr>
          <w:p>
            <w:pPr>
              <w:ind w:left="220"/>
              <w:spacing w:after="0"/>
              <w:rPr>
                <w:sz w:val="20"/>
                <w:szCs w:val="20"/>
                <w:color w:val="auto"/>
              </w:rPr>
            </w:pPr>
            <w:r>
              <w:rPr>
                <w:rFonts w:ascii="Arial" w:cs="Arial" w:eastAsia="Arial" w:hAnsi="Arial"/>
                <w:sz w:val="18"/>
                <w:szCs w:val="18"/>
                <w:color w:val="auto"/>
              </w:rPr>
              <w:t>Other (%)</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 (37.5%)</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(16.7%)</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 (20.0%)</w:t>
            </w:r>
          </w:p>
        </w:tc>
        <w:tc>
          <w:tcPr>
            <w:tcW w:w="1360" w:type="dxa"/>
            <w:vAlign w:val="bottom"/>
          </w:tcPr>
          <w:p>
            <w:pPr>
              <w:jc w:val="right"/>
              <w:ind w:right="632"/>
              <w:spacing w:after="0"/>
              <w:rPr>
                <w:sz w:val="20"/>
                <w:szCs w:val="20"/>
                <w:color w:val="auto"/>
              </w:rPr>
            </w:pPr>
            <w:r>
              <w:rPr>
                <w:rFonts w:ascii="Arial" w:cs="Arial" w:eastAsia="Arial" w:hAnsi="Arial"/>
                <w:sz w:val="18"/>
                <w:szCs w:val="18"/>
                <w:color w:val="auto"/>
              </w:rPr>
              <w:t>0</w:t>
            </w:r>
          </w:p>
        </w:tc>
        <w:tc>
          <w:tcPr>
            <w:tcW w:w="1120" w:type="dxa"/>
            <w:vAlign w:val="bottom"/>
          </w:tcPr>
          <w:p>
            <w:pPr>
              <w:ind w:left="5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56"/>
        </w:trPr>
        <w:tc>
          <w:tcPr>
            <w:tcW w:w="4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1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260" w:type="dxa"/>
            <w:vAlign w:val="bottom"/>
          </w:tcPr>
          <w:p>
            <w:pPr>
              <w:ind w:left="220"/>
              <w:spacing w:after="0" w:line="202" w:lineRule="exact"/>
              <w:rPr>
                <w:sz w:val="20"/>
                <w:szCs w:val="20"/>
                <w:color w:val="auto"/>
              </w:rPr>
            </w:pPr>
            <w:r>
              <w:rPr>
                <w:rFonts w:ascii="Arial" w:cs="Arial" w:eastAsia="Arial" w:hAnsi="Arial"/>
                <w:sz w:val="18"/>
                <w:szCs w:val="18"/>
                <w:color w:val="auto"/>
              </w:rPr>
              <w:t>0</w:t>
            </w:r>
          </w:p>
        </w:tc>
        <w:tc>
          <w:tcPr>
            <w:tcW w:w="15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 (12.5%)</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8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(27.8%)</w:t>
            </w:r>
          </w:p>
        </w:tc>
        <w:tc>
          <w:tcPr>
            <w:tcW w:w="132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0</w:t>
            </w:r>
          </w:p>
        </w:tc>
        <w:tc>
          <w:tcPr>
            <w:tcW w:w="13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 (25.0%)</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 (33.3%)</w:t>
            </w:r>
          </w:p>
        </w:tc>
        <w:tc>
          <w:tcPr>
            <w:tcW w:w="80" w:type="dxa"/>
            <w:vAlign w:val="bottom"/>
          </w:tcPr>
          <w:p>
            <w:pPr>
              <w:spacing w:after="0"/>
              <w:rPr>
                <w:sz w:val="17"/>
                <w:szCs w:val="17"/>
                <w:color w:val="auto"/>
              </w:rPr>
            </w:pPr>
          </w:p>
        </w:tc>
      </w:tr>
      <w:tr>
        <w:trPr>
          <w:trHeight w:val="203"/>
        </w:trPr>
        <w:tc>
          <w:tcPr>
            <w:tcW w:w="42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w:t>
            </w:r>
          </w:p>
        </w:tc>
        <w:tc>
          <w:tcPr>
            <w:tcW w:w="15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 (87.5%)</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(72.2%)</w:t>
            </w:r>
          </w:p>
        </w:tc>
        <w:tc>
          <w:tcPr>
            <w:tcW w:w="13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 (100.0%)</w:t>
            </w:r>
          </w:p>
        </w:tc>
        <w:tc>
          <w:tcPr>
            <w:tcW w:w="13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 (75.0%)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 (66.7%)</w:t>
            </w:r>
          </w:p>
        </w:tc>
        <w:tc>
          <w:tcPr>
            <w:tcW w:w="80" w:type="dxa"/>
            <w:vAlign w:val="bottom"/>
            <w:shd w:val="clear" w:color="auto" w:fill="CCEEFF"/>
          </w:tcPr>
          <w:p>
            <w:pPr>
              <w:spacing w:after="0"/>
              <w:rPr>
                <w:sz w:val="17"/>
                <w:szCs w:val="17"/>
                <w:color w:val="auto"/>
              </w:rPr>
            </w:pPr>
          </w:p>
        </w:tc>
      </w:tr>
      <w:tr>
        <w:trPr>
          <w:trHeight w:val="215"/>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prior cancer therapies, median (range)</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 (2-8)</w:t>
            </w: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2.5 (1-9)</w:t>
            </w:r>
          </w:p>
        </w:tc>
        <w:tc>
          <w:tcPr>
            <w:tcW w:w="1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 (1-5)</w:t>
            </w: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3.5 (2-9)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(2-3)</w:t>
            </w:r>
          </w:p>
        </w:tc>
        <w:tc>
          <w:tcPr>
            <w:tcW w:w="80" w:type="dxa"/>
            <w:vAlign w:val="bottom"/>
          </w:tcPr>
          <w:p>
            <w:pPr>
              <w:spacing w:after="0"/>
              <w:rPr>
                <w:sz w:val="18"/>
                <w:szCs w:val="18"/>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spacing w:after="0" w:line="125" w:lineRule="exact"/>
        <w:rPr>
          <w:sz w:val="20"/>
          <w:szCs w:val="20"/>
          <w:color w:val="auto"/>
        </w:rPr>
      </w:pPr>
    </w:p>
    <w:p>
      <w:pPr>
        <w:ind w:left="120" w:right="140"/>
        <w:spacing w:after="0" w:line="275" w:lineRule="auto"/>
        <w:rPr>
          <w:sz w:val="20"/>
          <w:szCs w:val="20"/>
          <w:color w:val="auto"/>
        </w:rPr>
      </w:pPr>
      <w:r>
        <w:rPr>
          <w:rFonts w:ascii="Arial" w:cs="Arial" w:eastAsia="Arial" w:hAnsi="Arial"/>
          <w:sz w:val="16"/>
          <w:szCs w:val="16"/>
          <w:color w:val="auto"/>
        </w:rPr>
        <w:t>The emerging safety profile of RMC-4630 when dosed on an intermittent schedule is consistent with the mechanistic effects of the product candidate on SHP2 and hence the RAS signaling cascade, including edema, gastrointestinal toxicity, reduced red cell production (low hemoglobin concentration and worsening of pre-existing anemia), reduced platelet production (thrombocytopenia), hypertension and fatigue. This safety profile was largely predictable from preclinical studies and clinical studies of other well-known inhibitors of this pathway.</w:t>
      </w:r>
    </w:p>
    <w:p>
      <w:pPr>
        <w:spacing w:after="0" w:line="75"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Treatment-related adverse events, or related AEs, occurring in greater than or equal to 10% of patients are listed in Table 2. One grade 4 treatment-related AE of thrombocytopenia has been reported in a patient receiving 240 mg BIW D1D4. No related grade 5 AEs have been reported.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2</w:t>
      </w:r>
      <w:r>
        <w:rPr>
          <w:rFonts w:ascii="Arial" w:cs="Arial" w:eastAsia="Arial" w:hAnsi="Arial"/>
          <w:sz w:val="18"/>
          <w:szCs w:val="18"/>
          <w:color w:val="auto"/>
        </w:rPr>
        <w:t>: 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Intermittent (N=38)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b w:val="1"/>
                <w:bCs w:val="1"/>
                <w:color w:val="auto"/>
              </w:rPr>
              <w:t>Any</w:t>
            </w:r>
          </w:p>
        </w:tc>
        <w:tc>
          <w:tcPr>
            <w:tcW w:w="400" w:type="dxa"/>
            <w:vAlign w:val="bottom"/>
          </w:tcPr>
          <w:p>
            <w:pPr>
              <w:spacing w:after="0"/>
              <w:rPr>
                <w:sz w:val="17"/>
                <w:szCs w:val="17"/>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b w:val="1"/>
                <w:bCs w:val="1"/>
                <w:color w:val="auto"/>
              </w:rPr>
              <w:t>Grade</w:t>
            </w:r>
          </w:p>
        </w:tc>
        <w:tc>
          <w:tcPr>
            <w:tcW w:w="1180" w:type="dxa"/>
            <w:vAlign w:val="bottom"/>
          </w:tcPr>
          <w:p>
            <w:pPr>
              <w:jc w:val="right"/>
              <w:ind w:right="132"/>
              <w:spacing w:after="0"/>
              <w:rPr>
                <w:sz w:val="20"/>
                <w:szCs w:val="20"/>
                <w:color w:val="auto"/>
              </w:rPr>
            </w:pPr>
            <w:r>
              <w:rPr>
                <w:rFonts w:ascii="Arial" w:cs="Arial" w:eastAsia="Arial" w:hAnsi="Arial"/>
                <w:sz w:val="18"/>
                <w:szCs w:val="18"/>
                <w:b w:val="1"/>
                <w:bCs w:val="1"/>
                <w:color w:val="auto"/>
              </w:rPr>
              <w:t>Grade</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Grade</w:t>
            </w:r>
          </w:p>
        </w:tc>
        <w:tc>
          <w:tcPr>
            <w:tcW w:w="960" w:type="dxa"/>
            <w:vAlign w:val="bottom"/>
            <w:gridSpan w:val="2"/>
          </w:tcPr>
          <w:p>
            <w:pPr>
              <w:ind w:left="360"/>
              <w:spacing w:after="0"/>
              <w:rPr>
                <w:sz w:val="20"/>
                <w:szCs w:val="20"/>
                <w:color w:val="auto"/>
              </w:rPr>
            </w:pPr>
            <w:r>
              <w:rPr>
                <w:rFonts w:ascii="Arial" w:cs="Arial" w:eastAsia="Arial" w:hAnsi="Arial"/>
                <w:sz w:val="18"/>
                <w:szCs w:val="18"/>
                <w:b w:val="1"/>
                <w:bCs w:val="1"/>
                <w:color w:val="auto"/>
              </w:rPr>
              <w:t>Grade</w:t>
            </w:r>
          </w:p>
        </w:tc>
      </w:tr>
      <w:tr>
        <w:trPr>
          <w:trHeight w:val="22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Preferred Term</w:t>
            </w:r>
          </w:p>
        </w:tc>
        <w:tc>
          <w:tcPr>
            <w:tcW w:w="1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Grade</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4</w:t>
            </w: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Diarrhea</w:t>
            </w:r>
          </w:p>
        </w:tc>
        <w:tc>
          <w:tcPr>
            <w:tcW w:w="1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w w:val="98"/>
              </w:rPr>
              <w:t>(39.5%)</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c>
          <w:tcPr>
            <w:tcW w:w="8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(26.3%)</w:t>
            </w:r>
          </w:p>
        </w:tc>
        <w:tc>
          <w:tcPr>
            <w:tcW w:w="118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3 (7.9%)</w:t>
            </w:r>
          </w:p>
        </w:tc>
        <w:tc>
          <w:tcPr>
            <w:tcW w:w="120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2 (5.3%)</w:t>
            </w:r>
          </w:p>
        </w:tc>
        <w:tc>
          <w:tcPr>
            <w:tcW w:w="88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Anemias (SMQ)*</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8"/>
              </w:rPr>
              <w:t>(26.3%)</w:t>
            </w:r>
          </w:p>
        </w:tc>
        <w:tc>
          <w:tcPr>
            <w:tcW w:w="40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4"/>
              </w:rPr>
              <w:t>1 (2.6%)</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 (13.2%)</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 (10.5%)</w:t>
            </w:r>
          </w:p>
        </w:tc>
        <w:tc>
          <w:tcPr>
            <w:tcW w:w="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Fatigue</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(26.3%)</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(18.4%)</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 (5.3%)</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 (2.6%)</w:t>
            </w:r>
          </w:p>
        </w:tc>
        <w:tc>
          <w:tcPr>
            <w:tcW w:w="8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Thrombocytopenias (SMQ)**</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8"/>
              </w:rPr>
              <w:t>(26.3%)</w:t>
            </w:r>
          </w:p>
        </w:tc>
        <w:tc>
          <w:tcPr>
            <w:tcW w:w="400" w:type="dxa"/>
            <w:vAlign w:val="bottom"/>
          </w:tcPr>
          <w:p>
            <w:pPr>
              <w:spacing w:after="0"/>
              <w:rPr>
                <w:sz w:val="17"/>
                <w:szCs w:val="17"/>
                <w:color w:val="auto"/>
              </w:rPr>
            </w:pP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4"/>
              </w:rPr>
              <w:t>3 (7.9%)</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 (13.2%)</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 (2.6%)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 (2.6%)</w:t>
            </w: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RevMed Edemas (CMQ)***</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(21.1%)</w:t>
            </w:r>
          </w:p>
        </w:tc>
        <w:tc>
          <w:tcPr>
            <w:tcW w:w="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(18.4%)</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 (2.6%)</w:t>
            </w:r>
          </w:p>
        </w:tc>
        <w:tc>
          <w:tcPr>
            <w:tcW w:w="1200" w:type="dxa"/>
            <w:vAlign w:val="bottom"/>
            <w:shd w:val="clear" w:color="auto" w:fill="CCEEFF"/>
          </w:tcPr>
          <w:p>
            <w:pPr>
              <w:jc w:val="right"/>
              <w:ind w:right="552"/>
              <w:spacing w:after="0" w:line="202" w:lineRule="exact"/>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Nausea</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8"/>
              </w:rPr>
              <w:t>(18.4%)</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(10.5%)</w:t>
            </w:r>
          </w:p>
        </w:tc>
        <w:tc>
          <w:tcPr>
            <w:tcW w:w="11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 (2.6%)</w:t>
            </w:r>
          </w:p>
        </w:tc>
        <w:tc>
          <w:tcPr>
            <w:tcW w:w="12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 (5.3%)</w:t>
            </w:r>
          </w:p>
        </w:tc>
        <w:tc>
          <w:tcPr>
            <w:tcW w:w="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0</w:t>
            </w:r>
          </w:p>
        </w:tc>
        <w:tc>
          <w:tcPr>
            <w:tcW w:w="80" w:type="dxa"/>
            <w:vAlign w:val="bottom"/>
          </w:tcPr>
          <w:p>
            <w:pPr>
              <w:spacing w:after="0"/>
              <w:rPr>
                <w:sz w:val="17"/>
                <w:szCs w:val="17"/>
                <w:color w:val="auto"/>
              </w:rPr>
            </w:pPr>
          </w:p>
        </w:tc>
      </w:tr>
      <w:tr>
        <w:trPr>
          <w:trHeight w:val="203"/>
        </w:trPr>
        <w:tc>
          <w:tcPr>
            <w:tcW w:w="3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Vomiting</w:t>
            </w:r>
          </w:p>
        </w:tc>
        <w:tc>
          <w:tcPr>
            <w:tcW w:w="1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8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8"/>
              </w:rPr>
              <w:t>(15.8%)</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w w:val="94"/>
              </w:rPr>
              <w:t>3 (7.9%)</w:t>
            </w:r>
          </w:p>
        </w:tc>
        <w:tc>
          <w:tcPr>
            <w:tcW w:w="11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 (2.6%)</w:t>
            </w:r>
          </w:p>
        </w:tc>
        <w:tc>
          <w:tcPr>
            <w:tcW w:w="12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 (5.3%)</w:t>
            </w:r>
          </w:p>
        </w:tc>
        <w:tc>
          <w:tcPr>
            <w:tcW w:w="8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7"/>
                <w:szCs w:val="17"/>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 Abbreviations: SMQ, Standardized MedDRA Query; CMQ, Customized MedDRA Query.</w:t>
      </w:r>
    </w:p>
    <w:p>
      <w:pPr>
        <w:spacing w:after="0" w:line="81" w:lineRule="exact"/>
        <w:rPr>
          <w:sz w:val="20"/>
          <w:szCs w:val="20"/>
          <w:color w:val="auto"/>
        </w:rPr>
      </w:pPr>
    </w:p>
    <w:p>
      <w:pPr>
        <w:ind w:left="120" w:right="8460" w:hanging="4"/>
        <w:spacing w:after="0" w:line="346" w:lineRule="auto"/>
        <w:tabs>
          <w:tab w:leader="none" w:pos="444" w:val="left"/>
        </w:tabs>
        <w:numPr>
          <w:ilvl w:val="0"/>
          <w:numId w:val="64"/>
        </w:numPr>
        <w:rPr>
          <w:rFonts w:ascii="Arial" w:cs="Arial" w:eastAsia="Arial" w:hAnsi="Arial"/>
          <w:sz w:val="13"/>
          <w:szCs w:val="13"/>
          <w:color w:val="auto"/>
        </w:rPr>
      </w:pPr>
      <w:r>
        <w:rPr>
          <w:rFonts w:ascii="Arial" w:cs="Arial" w:eastAsia="Arial" w:hAnsi="Arial"/>
          <w:sz w:val="13"/>
          <w:szCs w:val="13"/>
          <w:color w:val="auto"/>
        </w:rPr>
        <w:t>Includes hemoglobin count decrease. ** Includes platelet decrease.</w:t>
      </w:r>
    </w:p>
    <w:p>
      <w:pPr>
        <w:ind w:left="120"/>
        <w:spacing w:after="0"/>
        <w:rPr>
          <w:rFonts w:ascii="Arial" w:cs="Arial" w:eastAsia="Arial" w:hAnsi="Arial"/>
          <w:sz w:val="13"/>
          <w:szCs w:val="13"/>
          <w:color w:val="auto"/>
        </w:rPr>
      </w:pPr>
      <w:r>
        <w:rPr>
          <w:rFonts w:ascii="Arial" w:cs="Arial" w:eastAsia="Arial" w:hAnsi="Arial"/>
          <w:sz w:val="13"/>
          <w:szCs w:val="13"/>
          <w:color w:val="auto"/>
        </w:rPr>
        <w:t>***   Consists of eyelid edema, face edema, generalized edema, lip edema, edema, edema peripheral, periorbital edema and peripheral swelling.</w:t>
      </w:r>
    </w:p>
    <w:p>
      <w:pPr>
        <w:spacing w:after="0" w:line="111"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Four patients (11%) had serious adverse events, or SAEs, thought to be possibly or probably related to the study drug as assessed by the trial sponsor across all intermittent dosing cohorts. Three SAEs were reported among three patients receiving 200 mg D1D4 (Grade 3 abdominal distention, Grade 3 anemia, Grade 2 deep vein thrombosis, one patient each). Four SAEs were reported in one patient receiving 240 mg D1D4 (pleural effusion, pulmonary embolism, nausea, and vomiting, all Grade 3).</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Three additional SAEs across three patients (cerebrovascular accident, multifocal pneumonia, and pleural effusion) were reported in which the investigator was unable to rule out an association with the study drug, but where the evidence for causality by RMC-4630 was absent or considered unlikely by the study sponsor. One patient presented symptoms five days after starting study drug where a total of two doses were administered. This patient had major risk factors for developing a cerebrovascular accident including underlying bladder cancer, pancreatic adenocarcinoma, recent major thromboembolic event of pulmonary embolism less than two months prior to start of study treatment, elderly age, history of coronary artery calcification, smoking and hypertension. A second patient had pneumonia which is not an expected event for RMC-4630. After taking two doses of study drug, patient was hospitalized due to suspicion of post-obstructive pneumonia which was later updated to multifocal pneumonia. No pathogens were identified from the infection work-up. Given the history of lung cancer, the sponsor considers this event unlikely related to RMC-4630. A third patient had NSCLC and a history of multiple pleural effusions (including prior to starting study treatment) with multiple thoracentesis performed. Given patient history and the rapid accumulation of pleural fluid after the drug was held, the sponsor believes that this event is most likely due to underlying disease progression and is unlikely related to RMC-4630. No grade 4 or 5 related SAEs have been reported in either intermittent cohort.</w:t>
      </w:r>
    </w:p>
    <w:p>
      <w:pPr>
        <w:spacing w:after="0" w:line="10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Overall, the D1,D2 weekly intermittent dosing schedule seems to be better tolerated than the weekly D1,D4 dosing schedule (Table 3) and the daily dosing schedule and yet permits an equivalent weekly dose intensity of RMC-4630.</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b w:val="1"/>
          <w:bCs w:val="1"/>
          <w:color w:val="auto"/>
        </w:rPr>
        <w:t>Table 3</w:t>
      </w:r>
      <w:r>
        <w:rPr>
          <w:rFonts w:ascii="Arial" w:cs="Arial" w:eastAsia="Arial" w:hAnsi="Arial"/>
          <w:sz w:val="18"/>
          <w:szCs w:val="18"/>
          <w:color w:val="auto"/>
        </w:rPr>
        <w:t>: Comparison of key safety/tolerability findings for three tolerated doses at three different schedules; daily, weekly intermittent D1D4</w:t>
      </w:r>
      <w:r>
        <w:rPr>
          <w:rFonts w:ascii="Arial" w:cs="Arial" w:eastAsia="Arial" w:hAnsi="Arial"/>
          <w:sz w:val="18"/>
          <w:szCs w:val="18"/>
          <w:b w:val="1"/>
          <w:bCs w:val="1"/>
          <w:color w:val="auto"/>
        </w:rPr>
        <w:t xml:space="preserve"> </w:t>
      </w:r>
      <w:r>
        <w:rPr>
          <w:rFonts w:ascii="Arial" w:cs="Arial" w:eastAsia="Arial" w:hAnsi="Arial"/>
          <w:sz w:val="18"/>
          <w:szCs w:val="18"/>
          <w:color w:val="auto"/>
        </w:rPr>
        <w:t>and weekly intermittent D1D2.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30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60 mg Daily</w:t>
            </w:r>
          </w:p>
        </w:tc>
        <w:tc>
          <w:tcPr>
            <w:tcW w:w="1620" w:type="dxa"/>
            <w:vAlign w:val="bottom"/>
          </w:tcPr>
          <w:p>
            <w:pPr>
              <w:jc w:val="right"/>
              <w:ind w:right="172"/>
              <w:spacing w:after="0"/>
              <w:rPr>
                <w:sz w:val="20"/>
                <w:szCs w:val="20"/>
                <w:color w:val="auto"/>
              </w:rPr>
            </w:pPr>
            <w:r>
              <w:rPr>
                <w:rFonts w:ascii="Arial" w:cs="Arial" w:eastAsia="Arial" w:hAnsi="Arial"/>
                <w:sz w:val="18"/>
                <w:szCs w:val="18"/>
                <w:b w:val="1"/>
                <w:bCs w:val="1"/>
                <w:color w:val="auto"/>
              </w:rPr>
              <w:t>140 mg D1D4</w:t>
            </w:r>
          </w:p>
        </w:tc>
        <w:tc>
          <w:tcPr>
            <w:tcW w:w="1380" w:type="dxa"/>
            <w:vAlign w:val="bottom"/>
          </w:tcPr>
          <w:p>
            <w:pPr>
              <w:jc w:val="center"/>
              <w:ind w:left="172"/>
              <w:spacing w:after="0"/>
              <w:rPr>
                <w:sz w:val="20"/>
                <w:szCs w:val="20"/>
                <w:color w:val="auto"/>
              </w:rPr>
            </w:pPr>
            <w:r>
              <w:rPr>
                <w:rFonts w:ascii="Arial" w:cs="Arial" w:eastAsia="Arial" w:hAnsi="Arial"/>
                <w:sz w:val="18"/>
                <w:szCs w:val="18"/>
                <w:b w:val="1"/>
                <w:bCs w:val="1"/>
                <w:color w:val="auto"/>
                <w:w w:val="99"/>
              </w:rPr>
              <w:t>200 mg D1D2</w:t>
            </w:r>
          </w:p>
        </w:tc>
      </w:tr>
      <w:tr>
        <w:trPr>
          <w:trHeight w:val="234"/>
        </w:trPr>
        <w:tc>
          <w:tcPr>
            <w:tcW w:w="57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(N=18)</w:t>
            </w:r>
          </w:p>
        </w:tc>
        <w:tc>
          <w:tcPr>
            <w:tcW w:w="16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(N=8)</w:t>
            </w:r>
          </w:p>
        </w:tc>
        <w:tc>
          <w:tcPr>
            <w:tcW w:w="138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w w:val="96"/>
              </w:rPr>
              <w:t>(N=4)</w:t>
            </w:r>
          </w:p>
        </w:tc>
      </w:tr>
      <w:tr>
        <w:trPr>
          <w:trHeight w:val="197"/>
        </w:trPr>
        <w:tc>
          <w:tcPr>
            <w:tcW w:w="5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Grade 3 Related AEs</w:t>
            </w:r>
          </w:p>
        </w:tc>
        <w:tc>
          <w:tcPr>
            <w:tcW w:w="1380" w:type="dxa"/>
            <w:vAlign w:val="bottom"/>
            <w:shd w:val="clear" w:color="auto" w:fill="CCEEFF"/>
          </w:tcPr>
          <w:p>
            <w:pPr>
              <w:jc w:val="right"/>
              <w:spacing w:after="0" w:line="197" w:lineRule="exact"/>
              <w:rPr>
                <w:sz w:val="20"/>
                <w:szCs w:val="20"/>
                <w:color w:val="auto"/>
              </w:rPr>
            </w:pPr>
            <w:r>
              <w:rPr>
                <w:rFonts w:ascii="Arial" w:cs="Arial" w:eastAsia="Arial" w:hAnsi="Arial"/>
                <w:sz w:val="18"/>
                <w:szCs w:val="18"/>
                <w:color w:val="auto"/>
              </w:rPr>
              <w:t>7</w:t>
            </w:r>
          </w:p>
        </w:tc>
        <w:tc>
          <w:tcPr>
            <w:tcW w:w="920" w:type="dxa"/>
            <w:vAlign w:val="bottom"/>
            <w:shd w:val="clear" w:color="auto" w:fill="CCEEFF"/>
          </w:tcPr>
          <w:p>
            <w:pPr>
              <w:jc w:val="right"/>
              <w:ind w:right="192"/>
              <w:spacing w:after="0" w:line="197" w:lineRule="exact"/>
              <w:rPr>
                <w:sz w:val="20"/>
                <w:szCs w:val="20"/>
                <w:color w:val="auto"/>
              </w:rPr>
            </w:pPr>
            <w:r>
              <w:rPr>
                <w:rFonts w:ascii="Arial" w:cs="Arial" w:eastAsia="Arial" w:hAnsi="Arial"/>
                <w:sz w:val="18"/>
                <w:szCs w:val="18"/>
                <w:color w:val="auto"/>
                <w:w w:val="98"/>
              </w:rPr>
              <w:t>(38.9%)</w:t>
            </w:r>
          </w:p>
        </w:tc>
        <w:tc>
          <w:tcPr>
            <w:tcW w:w="1620" w:type="dxa"/>
            <w:vAlign w:val="bottom"/>
            <w:shd w:val="clear" w:color="auto" w:fill="CCEEFF"/>
          </w:tcPr>
          <w:p>
            <w:pPr>
              <w:jc w:val="right"/>
              <w:ind w:right="172"/>
              <w:spacing w:after="0" w:line="197" w:lineRule="exact"/>
              <w:rPr>
                <w:sz w:val="20"/>
                <w:szCs w:val="20"/>
                <w:color w:val="auto"/>
              </w:rPr>
            </w:pPr>
            <w:r>
              <w:rPr>
                <w:rFonts w:ascii="Arial" w:cs="Arial" w:eastAsia="Arial" w:hAnsi="Arial"/>
                <w:sz w:val="18"/>
                <w:szCs w:val="18"/>
                <w:color w:val="auto"/>
              </w:rPr>
              <w:t>4 (50.0%)</w:t>
            </w:r>
          </w:p>
        </w:tc>
        <w:tc>
          <w:tcPr>
            <w:tcW w:w="1380" w:type="dxa"/>
            <w:vAlign w:val="bottom"/>
            <w:shd w:val="clear" w:color="auto" w:fill="CCEEFF"/>
          </w:tcPr>
          <w:p>
            <w:pPr>
              <w:jc w:val="center"/>
              <w:ind w:left="152"/>
              <w:spacing w:after="0" w:line="197" w:lineRule="exact"/>
              <w:rPr>
                <w:sz w:val="20"/>
                <w:szCs w:val="20"/>
                <w:color w:val="auto"/>
              </w:rPr>
            </w:pPr>
            <w:r>
              <w:rPr>
                <w:rFonts w:ascii="Arial" w:cs="Arial" w:eastAsia="Arial" w:hAnsi="Arial"/>
                <w:sz w:val="18"/>
                <w:szCs w:val="18"/>
                <w:color w:val="auto"/>
                <w:w w:val="99"/>
              </w:rPr>
              <w:t>0</w:t>
            </w: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Grade 4 Related AEs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920" w:type="dxa"/>
            <w:vAlign w:val="bottom"/>
          </w:tcPr>
          <w:p>
            <w:pPr>
              <w:jc w:val="right"/>
              <w:ind w:right="192"/>
              <w:spacing w:after="0" w:line="202" w:lineRule="exact"/>
              <w:rPr>
                <w:sz w:val="20"/>
                <w:szCs w:val="20"/>
                <w:color w:val="auto"/>
              </w:rPr>
            </w:pPr>
            <w:r>
              <w:rPr>
                <w:rFonts w:ascii="Arial" w:cs="Arial" w:eastAsia="Arial" w:hAnsi="Arial"/>
                <w:sz w:val="18"/>
                <w:szCs w:val="18"/>
                <w:color w:val="auto"/>
                <w:w w:val="98"/>
              </w:rPr>
              <w:t>(11.1%)</w:t>
            </w:r>
          </w:p>
        </w:tc>
        <w:tc>
          <w:tcPr>
            <w:tcW w:w="1620" w:type="dxa"/>
            <w:vAlign w:val="bottom"/>
          </w:tcPr>
          <w:p>
            <w:pPr>
              <w:jc w:val="right"/>
              <w:ind w:right="652"/>
              <w:spacing w:after="0" w:line="202" w:lineRule="exact"/>
              <w:rPr>
                <w:sz w:val="20"/>
                <w:szCs w:val="20"/>
                <w:color w:val="auto"/>
              </w:rPr>
            </w:pPr>
            <w:r>
              <w:rPr>
                <w:rFonts w:ascii="Arial" w:cs="Arial" w:eastAsia="Arial" w:hAnsi="Arial"/>
                <w:sz w:val="18"/>
                <w:szCs w:val="18"/>
                <w:color w:val="auto"/>
              </w:rPr>
              <w:t>0</w:t>
            </w:r>
          </w:p>
        </w:tc>
        <w:tc>
          <w:tcPr>
            <w:tcW w:w="1380" w:type="dxa"/>
            <w:vAlign w:val="bottom"/>
          </w:tcPr>
          <w:p>
            <w:pPr>
              <w:jc w:val="center"/>
              <w:ind w:left="152"/>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AEs Leading to Study Drug Discontinuation/Dose Reduction</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(22.2%)</w:t>
            </w:r>
          </w:p>
        </w:tc>
        <w:tc>
          <w:tcPr>
            <w:tcW w:w="16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 (12.5%)</w:t>
            </w:r>
          </w:p>
        </w:tc>
        <w:tc>
          <w:tcPr>
            <w:tcW w:w="1380" w:type="dxa"/>
            <w:vAlign w:val="bottom"/>
            <w:shd w:val="clear" w:color="auto" w:fill="CCEEFF"/>
          </w:tcPr>
          <w:p>
            <w:pPr>
              <w:jc w:val="center"/>
              <w:ind w:left="152"/>
              <w:spacing w:after="0" w:line="202" w:lineRule="exact"/>
              <w:rPr>
                <w:sz w:val="20"/>
                <w:szCs w:val="20"/>
                <w:color w:val="auto"/>
              </w:rPr>
            </w:pPr>
            <w:r>
              <w:rPr>
                <w:rFonts w:ascii="Arial" w:cs="Arial" w:eastAsia="Arial" w:hAnsi="Arial"/>
                <w:sz w:val="18"/>
                <w:szCs w:val="18"/>
                <w:color w:val="auto"/>
                <w:w w:val="99"/>
              </w:rPr>
              <w:t>0</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120" w:right="680" w:hanging="4"/>
        <w:spacing w:after="0" w:line="281" w:lineRule="auto"/>
        <w:tabs>
          <w:tab w:leader="none" w:pos="210" w:val="left"/>
        </w:tabs>
        <w:numPr>
          <w:ilvl w:val="0"/>
          <w:numId w:val="65"/>
        </w:numPr>
        <w:rPr>
          <w:rFonts w:ascii="Arial" w:cs="Arial" w:eastAsia="Arial" w:hAnsi="Arial"/>
          <w:sz w:val="13"/>
          <w:szCs w:val="13"/>
          <w:i w:val="1"/>
          <w:iCs w:val="1"/>
          <w:color w:val="auto"/>
        </w:rPr>
      </w:pPr>
      <w:r>
        <w:rPr>
          <w:rFonts w:ascii="Arial" w:cs="Arial" w:eastAsia="Arial" w:hAnsi="Arial"/>
          <w:sz w:val="13"/>
          <w:szCs w:val="13"/>
          <w:i w:val="1"/>
          <w:iCs w:val="1"/>
          <w:color w:val="auto"/>
        </w:rPr>
        <w:t>Relatedness in this table is based on investigator assessment. One Grade 4 SAE of respiratory failure and one Grade 3 SAE of QTc prolongation (previously reported) were considered unlikely related to RMC-4630 by the sponsor.</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Pharmacokinetics—intermittent dosing schedule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pharmacokinetic profile of RMC-4630 after dosing on the intermittent schedule is shown in Table 4 and Figure 9a.</w:t>
      </w:r>
    </w:p>
    <w:p>
      <w:pPr>
        <w:spacing w:after="0" w:line="104" w:lineRule="exact"/>
        <w:rPr>
          <w:sz w:val="20"/>
          <w:szCs w:val="20"/>
          <w:color w:val="auto"/>
        </w:rPr>
      </w:pPr>
    </w:p>
    <w:p>
      <w:pPr>
        <w:ind w:left="120" w:right="300"/>
        <w:spacing w:after="0" w:line="229" w:lineRule="auto"/>
        <w:rPr>
          <w:sz w:val="20"/>
          <w:szCs w:val="20"/>
          <w:color w:val="auto"/>
        </w:rPr>
      </w:pPr>
      <w:r>
        <w:rPr>
          <w:rFonts w:ascii="Arial" w:cs="Arial" w:eastAsia="Arial" w:hAnsi="Arial"/>
          <w:sz w:val="18"/>
          <w:szCs w:val="18"/>
          <w:color w:val="auto"/>
        </w:rPr>
        <w:t>The median half-life of RMC-4630 was approximately 28 and 33 hours following a single dose at 140 and 200 mg, respectively. No accumulation from day 1 to day 15 was observed with either D1,D4 dosing or D1,D2 dosing schedules. Plasma exposure at all dose levels was within the range anticipated to be biologically active from preclinical models. At 200 mg D1,D2, the C</w:t>
      </w:r>
      <w:r>
        <w:rPr>
          <w:rFonts w:ascii="Arial" w:cs="Arial" w:eastAsia="Arial" w:hAnsi="Arial"/>
          <w:sz w:val="22"/>
          <w:szCs w:val="22"/>
          <w:color w:val="auto"/>
          <w:vertAlign w:val="subscript"/>
        </w:rPr>
        <w:t>max</w:t>
      </w:r>
      <w:r>
        <w:rPr>
          <w:rFonts w:ascii="Arial" w:cs="Arial" w:eastAsia="Arial" w:hAnsi="Arial"/>
          <w:sz w:val="18"/>
          <w:szCs w:val="18"/>
          <w:color w:val="auto"/>
        </w:rPr>
        <w:t xml:space="preserve"> concentrations were generally above those thought to represent the ‘apoptotic threshold’ or plasma concentration at which RMC-4630 can best induce tumor cell death (Figure 9a). In addition, trough concentrations towards the end of the week were below those thought to be required for normal tissue recovery. This is consistent with the improved safety/tolerability of the D1,D2 schedule. The pharmacokinetic profile of the 200 mg D1,D2 schedule seems to represent the one closest to that associated with an optimal therapeutic index in preclinical models, compared with the maximum tolerated dose at the alternative schedules (60 mg daily or 140 mg D1,D4).</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4</w:t>
      </w:r>
      <w:r>
        <w:rPr>
          <w:rFonts w:ascii="Arial" w:cs="Arial" w:eastAsia="Arial" w:hAnsi="Arial"/>
          <w:sz w:val="18"/>
          <w:szCs w:val="18"/>
          <w:color w:val="auto"/>
        </w:rPr>
        <w:t>: Pharmacokinetics—intermittent schedule in RMC-4630-01 study.</w:t>
      </w:r>
    </w:p>
    <w:p>
      <w:pPr>
        <w:spacing w:after="0" w:line="116" w:lineRule="exact"/>
        <w:rPr>
          <w:sz w:val="20"/>
          <w:szCs w:val="20"/>
          <w:color w:val="auto"/>
        </w:rPr>
      </w:pPr>
    </w:p>
    <w:tbl>
      <w:tblPr>
        <w:tblLayout w:type="fixed"/>
        <w:tblInd w:w="130" w:type="dxa"/>
        <w:tblCellMar>
          <w:top w:w="0" w:type="dxa"/>
          <w:left w:w="0" w:type="dxa"/>
          <w:bottom w:w="0" w:type="dxa"/>
          <w:right w:w="0" w:type="dxa"/>
        </w:tblCellMar>
      </w:tblPr>
      <w:tr>
        <w:trPr>
          <w:trHeight w:val="176"/>
        </w:trPr>
        <w:tc>
          <w:tcPr>
            <w:tcW w:w="3200" w:type="dxa"/>
            <w:vAlign w:val="bottom"/>
            <w:tcBorders>
              <w:top w:val="single" w:sz="8" w:color="auto"/>
              <w:left w:val="single" w:sz="8" w:color="auto"/>
              <w:right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74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236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PK parameters [Mean(CV%)]</w:t>
            </w:r>
          </w:p>
        </w:tc>
        <w:tc>
          <w:tcPr>
            <w:tcW w:w="100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20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Median</w:t>
            </w:r>
          </w:p>
        </w:tc>
        <w:tc>
          <w:tcPr>
            <w:tcW w:w="6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Mean</w:t>
            </w:r>
          </w:p>
        </w:tc>
        <w:tc>
          <w:tcPr>
            <w:tcW w:w="6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ind w:right="33"/>
              <w:spacing w:after="0" w:line="209" w:lineRule="exact"/>
              <w:rPr>
                <w:sz w:val="20"/>
                <w:szCs w:val="20"/>
                <w:color w:val="auto"/>
              </w:rPr>
            </w:pPr>
            <w:r>
              <w:rPr>
                <w:rFonts w:ascii="Arial" w:cs="Arial" w:eastAsia="Arial" w:hAnsi="Arial"/>
                <w:sz w:val="13"/>
                <w:szCs w:val="13"/>
                <w:b w:val="1"/>
                <w:bCs w:val="1"/>
                <w:color w:val="auto"/>
                <w:w w:val="95"/>
              </w:rPr>
              <w:t>Median t</w:t>
            </w:r>
            <w:r>
              <w:rPr>
                <w:rFonts w:ascii="Arial" w:cs="Arial" w:eastAsia="Arial" w:hAnsi="Arial"/>
                <w:sz w:val="22"/>
                <w:szCs w:val="22"/>
                <w:b w:val="1"/>
                <w:bCs w:val="1"/>
                <w:color w:val="auto"/>
                <w:w w:val="95"/>
                <w:vertAlign w:val="subscript"/>
              </w:rPr>
              <w:t>1/2</w:t>
            </w:r>
          </w:p>
        </w:tc>
        <w:tc>
          <w:tcPr>
            <w:tcW w:w="0" w:type="dxa"/>
            <w:vAlign w:val="bottom"/>
          </w:tcPr>
          <w:p>
            <w:pPr>
              <w:spacing w:after="0"/>
              <w:rPr>
                <w:sz w:val="1"/>
                <w:szCs w:val="1"/>
                <w:color w:val="auto"/>
              </w:rPr>
            </w:pPr>
          </w:p>
        </w:tc>
      </w:tr>
      <w:tr>
        <w:trPr>
          <w:trHeight w:val="84"/>
        </w:trPr>
        <w:tc>
          <w:tcPr>
            <w:tcW w:w="3200" w:type="dxa"/>
            <w:vAlign w:val="bottom"/>
            <w:tcBorders>
              <w:left w:val="single" w:sz="8" w:color="auto"/>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rPr>
              <w:t>Study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Schedule</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Dose</w:t>
            </w:r>
          </w:p>
        </w:tc>
        <w:tc>
          <w:tcPr>
            <w:tcW w:w="740" w:type="dxa"/>
            <w:vAlign w:val="bottom"/>
            <w:tcBorders>
              <w:right w:val="single" w:sz="8" w:color="auto"/>
            </w:tcBorders>
            <w:vMerge w:val="restart"/>
          </w:tcPr>
          <w:p>
            <w:pPr>
              <w:ind w:left="60"/>
              <w:spacing w:after="0"/>
              <w:rPr>
                <w:sz w:val="20"/>
                <w:szCs w:val="20"/>
                <w:color w:val="auto"/>
              </w:rPr>
            </w:pPr>
            <w:r>
              <w:rPr>
                <w:rFonts w:ascii="Arial" w:cs="Arial" w:eastAsia="Arial" w:hAnsi="Arial"/>
                <w:sz w:val="13"/>
                <w:szCs w:val="13"/>
                <w:b w:val="1"/>
                <w:bCs w:val="1"/>
                <w:color w:val="auto"/>
              </w:rPr>
              <w:t>Cycle/Day</w:t>
            </w:r>
          </w:p>
        </w:tc>
        <w:tc>
          <w:tcPr>
            <w:tcW w:w="1000" w:type="dxa"/>
            <w:vAlign w:val="bottom"/>
            <w:tcBorders>
              <w:right w:val="single" w:sz="8" w:color="auto"/>
            </w:tcBorders>
            <w:vMerge w:val="restart"/>
          </w:tcPr>
          <w:p>
            <w:pPr>
              <w:ind w:left="80"/>
              <w:spacing w:after="0" w:line="149" w:lineRule="exact"/>
              <w:rPr>
                <w:sz w:val="20"/>
                <w:szCs w:val="20"/>
                <w:color w:val="auto"/>
              </w:rPr>
            </w:pPr>
            <w:r>
              <w:rPr>
                <w:rFonts w:ascii="Arial" w:cs="Arial" w:eastAsia="Arial" w:hAnsi="Arial"/>
                <w:sz w:val="11"/>
                <w:szCs w:val="11"/>
                <w:b w:val="1"/>
                <w:bCs w:val="1"/>
                <w:color w:val="auto"/>
              </w:rPr>
              <w:t>N(C</w:t>
            </w:r>
            <w:r>
              <w:rPr>
                <w:rFonts w:ascii="Arial" w:cs="Arial" w:eastAsia="Arial" w:hAnsi="Arial"/>
                <w:sz w:val="17"/>
                <w:szCs w:val="17"/>
                <w:b w:val="1"/>
                <w:bCs w:val="1"/>
                <w:color w:val="auto"/>
                <w:vertAlign w:val="subscript"/>
              </w:rPr>
              <w:t>max</w:t>
            </w:r>
            <w:r>
              <w:rPr>
                <w:rFonts w:ascii="Arial" w:cs="Arial" w:eastAsia="Arial" w:hAnsi="Arial"/>
                <w:sz w:val="11"/>
                <w:szCs w:val="11"/>
                <w:b w:val="1"/>
                <w:bCs w:val="1"/>
                <w:color w:val="auto"/>
              </w:rPr>
              <w:t>/AUC)</w:t>
            </w:r>
          </w:p>
        </w:tc>
        <w:tc>
          <w:tcPr>
            <w:tcW w:w="7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vertAlign w:val="superscript"/>
              </w:rPr>
              <w:t>C</w:t>
            </w:r>
            <w:r>
              <w:rPr>
                <w:rFonts w:ascii="Arial" w:cs="Arial" w:eastAsia="Arial" w:hAnsi="Arial"/>
                <w:sz w:val="9"/>
                <w:szCs w:val="9"/>
                <w:b w:val="1"/>
                <w:bCs w:val="1"/>
                <w:color w:val="auto"/>
              </w:rPr>
              <w:t>max</w:t>
            </w:r>
          </w:p>
        </w:tc>
        <w:tc>
          <w:tcPr>
            <w:tcW w:w="62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vertAlign w:val="superscript"/>
              </w:rPr>
              <w:t>T</w:t>
            </w:r>
            <w:r>
              <w:rPr>
                <w:rFonts w:ascii="Arial" w:cs="Arial" w:eastAsia="Arial" w:hAnsi="Arial"/>
                <w:sz w:val="9"/>
                <w:szCs w:val="9"/>
                <w:b w:val="1"/>
                <w:bCs w:val="1"/>
                <w:color w:val="auto"/>
              </w:rPr>
              <w:t>max</w:t>
            </w: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vertAlign w:val="superscript"/>
              </w:rPr>
              <w:t>AUC</w:t>
            </w:r>
            <w:r>
              <w:rPr>
                <w:rFonts w:ascii="Arial" w:cs="Arial" w:eastAsia="Arial" w:hAnsi="Arial"/>
                <w:sz w:val="9"/>
                <w:szCs w:val="9"/>
                <w:b w:val="1"/>
                <w:bCs w:val="1"/>
                <w:color w:val="auto"/>
              </w:rPr>
              <w:t>0-24</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accumulation</w:t>
            </w:r>
          </w:p>
        </w:tc>
        <w:tc>
          <w:tcPr>
            <w:tcW w:w="66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7"/>
                <w:szCs w:val="17"/>
                <w:b w:val="1"/>
                <w:bCs w:val="1"/>
                <w:color w:val="auto"/>
                <w:vertAlign w:val="superscript"/>
              </w:rPr>
              <w:t>AUC</w:t>
            </w:r>
            <w:r>
              <w:rPr>
                <w:rFonts w:ascii="Arial" w:cs="Arial" w:eastAsia="Arial" w:hAnsi="Arial"/>
                <w:sz w:val="9"/>
                <w:szCs w:val="9"/>
                <w:b w:val="1"/>
                <w:bCs w:val="1"/>
                <w:color w:val="auto"/>
              </w:rPr>
              <w:t>0-72</w:t>
            </w: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20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restart"/>
          </w:tcPr>
          <w:p>
            <w:pPr>
              <w:jc w:val="center"/>
              <w:ind w:right="33"/>
              <w:spacing w:after="0"/>
              <w:rPr>
                <w:sz w:val="20"/>
                <w:szCs w:val="20"/>
                <w:color w:val="auto"/>
              </w:rPr>
            </w:pPr>
            <w:r>
              <w:rPr>
                <w:rFonts w:ascii="Arial" w:cs="Arial" w:eastAsia="Arial" w:hAnsi="Arial"/>
                <w:sz w:val="13"/>
                <w:szCs w:val="13"/>
                <w:b w:val="1"/>
                <w:bCs w:val="1"/>
                <w:color w:val="auto"/>
              </w:rPr>
              <w:t>(range)</w:t>
            </w:r>
          </w:p>
        </w:tc>
        <w:tc>
          <w:tcPr>
            <w:tcW w:w="0" w:type="dxa"/>
            <w:vAlign w:val="bottom"/>
          </w:tcPr>
          <w:p>
            <w:pPr>
              <w:spacing w:after="0"/>
              <w:rPr>
                <w:sz w:val="1"/>
                <w:szCs w:val="1"/>
                <w:color w:val="auto"/>
              </w:rPr>
            </w:pPr>
          </w:p>
        </w:tc>
      </w:tr>
      <w:tr>
        <w:trPr>
          <w:trHeight w:val="114"/>
        </w:trPr>
        <w:tc>
          <w:tcPr>
            <w:tcW w:w="3200" w:type="dxa"/>
            <w:vAlign w:val="bottom"/>
            <w:tcBorders>
              <w:left w:val="single" w:sz="8" w:color="auto"/>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(range)</w:t>
            </w:r>
          </w:p>
        </w:tc>
        <w:tc>
          <w:tcPr>
            <w:tcW w:w="66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line="164" w:lineRule="exact"/>
              <w:rPr>
                <w:sz w:val="20"/>
                <w:szCs w:val="20"/>
                <w:color w:val="auto"/>
              </w:rPr>
            </w:pPr>
            <w:r>
              <w:rPr>
                <w:rFonts w:ascii="Arial" w:cs="Arial" w:eastAsia="Arial" w:hAnsi="Arial"/>
                <w:sz w:val="12"/>
                <w:szCs w:val="12"/>
                <w:b w:val="1"/>
                <w:bCs w:val="1"/>
                <w:color w:val="auto"/>
              </w:rPr>
              <w:t>(AUC</w:t>
            </w:r>
            <w:r>
              <w:rPr>
                <w:rFonts w:ascii="Arial" w:cs="Arial" w:eastAsia="Arial" w:hAnsi="Arial"/>
                <w:sz w:val="19"/>
                <w:szCs w:val="19"/>
                <w:b w:val="1"/>
                <w:bCs w:val="1"/>
                <w:color w:val="auto"/>
                <w:vertAlign w:val="subscript"/>
              </w:rPr>
              <w:t>0-24</w:t>
            </w:r>
          </w:p>
        </w:tc>
        <w:tc>
          <w:tcPr>
            <w:tcW w:w="6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0" w:type="dxa"/>
            <w:vAlign w:val="bottom"/>
            <w:tcBorders>
              <w:left w:val="single" w:sz="8" w:color="auto"/>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vMerge w:val="continue"/>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3200" w:type="dxa"/>
            <w:vAlign w:val="bottom"/>
            <w:tcBorders>
              <w:left w:val="single" w:sz="8" w:color="auto"/>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7"/>
              </w:rPr>
              <w:t>µM</w:t>
            </w:r>
          </w:p>
        </w:tc>
        <w:tc>
          <w:tcPr>
            <w:tcW w:w="6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h</w:t>
            </w:r>
          </w:p>
        </w:tc>
        <w:tc>
          <w:tcPr>
            <w:tcW w:w="6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µM*h</w:t>
            </w:r>
          </w:p>
        </w:tc>
        <w:tc>
          <w:tcPr>
            <w:tcW w:w="10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ratio)</w:t>
            </w:r>
          </w:p>
        </w:tc>
        <w:tc>
          <w:tcPr>
            <w:tcW w:w="66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rPr>
              <w:t>µM*h</w:t>
            </w:r>
          </w:p>
        </w:tc>
        <w:tc>
          <w:tcPr>
            <w:tcW w:w="1000" w:type="dxa"/>
            <w:vAlign w:val="bottom"/>
            <w:tcBorders>
              <w:bottom w:val="single" w:sz="8" w:color="auto"/>
              <w:right w:val="single" w:sz="8" w:color="auto"/>
            </w:tcBorders>
          </w:tcPr>
          <w:p>
            <w:pPr>
              <w:jc w:val="center"/>
              <w:ind w:right="33"/>
              <w:spacing w:after="0" w:line="143" w:lineRule="exact"/>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156"/>
        </w:trPr>
        <w:tc>
          <w:tcPr>
            <w:tcW w:w="3200" w:type="dxa"/>
            <w:vAlign w:val="bottom"/>
            <w:tcBorders>
              <w:left w:val="single" w:sz="8" w:color="auto"/>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QD</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10 mg/kg</w:t>
            </w:r>
          </w:p>
        </w:tc>
        <w:tc>
          <w:tcPr>
            <w:tcW w:w="74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0.98</w:t>
            </w:r>
          </w:p>
        </w:tc>
        <w:tc>
          <w:tcPr>
            <w:tcW w:w="6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6.44</w:t>
            </w:r>
          </w:p>
        </w:tc>
        <w:tc>
          <w:tcPr>
            <w:tcW w:w="10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200" w:type="dxa"/>
            <w:vAlign w:val="bottom"/>
            <w:tcBorders>
              <w:left w:val="single" w:sz="8" w:color="auto"/>
              <w:right w:val="single" w:sz="8" w:color="auto"/>
            </w:tcBorders>
            <w:vMerge w:val="restart"/>
          </w:tcPr>
          <w:p>
            <w:pPr>
              <w:jc w:val="center"/>
              <w:ind w:left="33"/>
              <w:spacing w:after="0" w:line="148" w:lineRule="exact"/>
              <w:rPr>
                <w:sz w:val="20"/>
                <w:szCs w:val="20"/>
                <w:color w:val="auto"/>
              </w:rPr>
            </w:pPr>
            <w:r>
              <w:rPr>
                <w:rFonts w:ascii="Arial" w:cs="Arial" w:eastAsia="Arial" w:hAnsi="Arial"/>
                <w:sz w:val="13"/>
                <w:szCs w:val="13"/>
                <w:color w:val="auto"/>
              </w:rPr>
              <w:t>Mouse efficacy</w:t>
            </w:r>
          </w:p>
        </w:tc>
        <w:tc>
          <w:tcPr>
            <w:tcW w:w="72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rPr>
              <w:t>steady</w:t>
            </w:r>
          </w:p>
        </w:tc>
        <w:tc>
          <w:tcPr>
            <w:tcW w:w="6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66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w w:val="99"/>
              </w:rPr>
              <w:t>NA</w:t>
            </w:r>
          </w:p>
        </w:tc>
        <w:tc>
          <w:tcPr>
            <w:tcW w:w="100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74"/>
        </w:trPr>
        <w:tc>
          <w:tcPr>
            <w:tcW w:w="320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20 mg/kg</w:t>
            </w: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3.4</w:t>
            </w:r>
          </w:p>
        </w:tc>
        <w:tc>
          <w:tcPr>
            <w:tcW w:w="6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11.7</w:t>
            </w:r>
          </w:p>
        </w:tc>
        <w:tc>
          <w:tcPr>
            <w:tcW w:w="104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200" w:type="dxa"/>
            <w:vAlign w:val="bottom"/>
            <w:tcBorders>
              <w:left w:val="single" w:sz="8" w:color="auto"/>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state</w:t>
            </w:r>
          </w:p>
        </w:tc>
        <w:tc>
          <w:tcPr>
            <w:tcW w:w="680" w:type="dxa"/>
            <w:vAlign w:val="bottom"/>
            <w:tcBorders>
              <w:bottom w:val="single" w:sz="8" w:color="auto"/>
              <w:right w:val="single" w:sz="8" w:color="auto"/>
            </w:tcBorders>
            <w:vMerge w:val="continue"/>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200" w:type="dxa"/>
            <w:vAlign w:val="bottom"/>
            <w:tcBorders>
              <w:left w:val="single" w:sz="8" w:color="auto"/>
              <w:right w:val="single" w:sz="8" w:color="auto"/>
            </w:tcBorders>
          </w:tcPr>
          <w:p>
            <w:pPr>
              <w:spacing w:after="0"/>
              <w:rPr>
                <w:sz w:val="13"/>
                <w:szCs w:val="13"/>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Twice</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140 mg</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8/8</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0.915 (50)</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 (1-8)</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10.8 (35)</w:t>
            </w:r>
          </w:p>
        </w:tc>
        <w:tc>
          <w:tcPr>
            <w:tcW w:w="104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19.7 (31)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28 (23-33)</w:t>
            </w:r>
          </w:p>
        </w:tc>
        <w:tc>
          <w:tcPr>
            <w:tcW w:w="0" w:type="dxa"/>
            <w:vAlign w:val="bottom"/>
          </w:tcPr>
          <w:p>
            <w:pPr>
              <w:spacing w:after="0"/>
              <w:rPr>
                <w:sz w:val="1"/>
                <w:szCs w:val="1"/>
                <w:color w:val="auto"/>
              </w:rPr>
            </w:pPr>
          </w:p>
        </w:tc>
      </w:tr>
      <w:tr>
        <w:trPr>
          <w:trHeight w:val="74"/>
        </w:trPr>
        <w:tc>
          <w:tcPr>
            <w:tcW w:w="320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8/8</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0.935 (35)</w:t>
            </w:r>
          </w:p>
        </w:tc>
        <w:tc>
          <w:tcPr>
            <w:tcW w:w="6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2 (2-4)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14.0 (41)</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1.3</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NA</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68"/>
        </w:trPr>
        <w:tc>
          <w:tcPr>
            <w:tcW w:w="320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weekly</w:t>
            </w: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0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1/1</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18/18</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1.38 (41)</w:t>
            </w:r>
          </w:p>
        </w:tc>
        <w:tc>
          <w:tcPr>
            <w:tcW w:w="6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2 (0.5-8)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17.5 (38)</w:t>
            </w:r>
          </w:p>
        </w:tc>
        <w:tc>
          <w:tcPr>
            <w:tcW w:w="104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39.0 (40)</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33 (20-40)</w:t>
            </w:r>
          </w:p>
        </w:tc>
        <w:tc>
          <w:tcPr>
            <w:tcW w:w="0" w:type="dxa"/>
            <w:vAlign w:val="bottom"/>
          </w:tcPr>
          <w:p>
            <w:pPr>
              <w:spacing w:after="0"/>
              <w:rPr>
                <w:sz w:val="1"/>
                <w:szCs w:val="1"/>
                <w:color w:val="auto"/>
              </w:rPr>
            </w:pPr>
          </w:p>
        </w:tc>
      </w:tr>
      <w:tr>
        <w:trPr>
          <w:trHeight w:val="82"/>
        </w:trPr>
        <w:tc>
          <w:tcPr>
            <w:tcW w:w="3200" w:type="dxa"/>
            <w:vAlign w:val="bottom"/>
            <w:tcBorders>
              <w:left w:val="single" w:sz="8" w:color="auto"/>
              <w:right w:val="single" w:sz="8" w:color="auto"/>
            </w:tcBorders>
            <w:vMerge w:val="restart"/>
          </w:tcPr>
          <w:p>
            <w:pPr>
              <w:jc w:val="center"/>
              <w:ind w:left="33"/>
              <w:spacing w:after="0"/>
              <w:rPr>
                <w:sz w:val="20"/>
                <w:szCs w:val="20"/>
                <w:color w:val="auto"/>
              </w:rPr>
            </w:pPr>
            <w:r>
              <w:rPr>
                <w:rFonts w:ascii="Arial" w:cs="Arial" w:eastAsia="Arial" w:hAnsi="Arial"/>
                <w:sz w:val="13"/>
                <w:szCs w:val="13"/>
                <w:color w:val="auto"/>
              </w:rPr>
              <w:t>RMC-4630-01</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(D1, D4)</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200 mg</w:t>
            </w:r>
          </w:p>
        </w:tc>
        <w:tc>
          <w:tcPr>
            <w:tcW w:w="74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20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12/12</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1.23 (32)</w:t>
            </w:r>
          </w:p>
        </w:tc>
        <w:tc>
          <w:tcPr>
            <w:tcW w:w="6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3 (1-24)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18.6 (31)</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1.1</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NA</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68"/>
        </w:trPr>
        <w:tc>
          <w:tcPr>
            <w:tcW w:w="320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20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Twice</w:t>
            </w: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1/1</w:t>
            </w:r>
          </w:p>
        </w:tc>
        <w:tc>
          <w:tcPr>
            <w:tcW w:w="10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9"/>
              </w:rPr>
              <w:t>4/4</w:t>
            </w:r>
          </w:p>
        </w:tc>
        <w:tc>
          <w:tcPr>
            <w:tcW w:w="7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1.58 (45)</w:t>
            </w:r>
          </w:p>
        </w:tc>
        <w:tc>
          <w:tcPr>
            <w:tcW w:w="62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3 (2-4)*</w:t>
            </w:r>
          </w:p>
        </w:tc>
        <w:tc>
          <w:tcPr>
            <w:tcW w:w="6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13.9 (33)</w:t>
            </w:r>
          </w:p>
        </w:tc>
        <w:tc>
          <w:tcPr>
            <w:tcW w:w="10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9"/>
              </w:rPr>
              <w:t>NA</w:t>
            </w:r>
          </w:p>
        </w:tc>
        <w:tc>
          <w:tcPr>
            <w:tcW w:w="100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68"/>
        </w:trPr>
        <w:tc>
          <w:tcPr>
            <w:tcW w:w="320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rPr>
              <w:t>weekly</w:t>
            </w:r>
          </w:p>
        </w:tc>
        <w:tc>
          <w:tcPr>
            <w:tcW w:w="680" w:type="dxa"/>
            <w:vAlign w:val="bottom"/>
            <w:tcBorders>
              <w:right w:val="single" w:sz="8" w:color="auto"/>
            </w:tcBorders>
            <w:vMerge w:val="restart"/>
          </w:tcPr>
          <w:p>
            <w:pPr>
              <w:jc w:val="center"/>
              <w:spacing w:after="0" w:line="148" w:lineRule="exact"/>
              <w:rPr>
                <w:sz w:val="20"/>
                <w:szCs w:val="20"/>
                <w:color w:val="auto"/>
              </w:rPr>
            </w:pPr>
            <w:r>
              <w:rPr>
                <w:rFonts w:ascii="Arial" w:cs="Arial" w:eastAsia="Arial" w:hAnsi="Arial"/>
                <w:sz w:val="13"/>
                <w:szCs w:val="13"/>
                <w:color w:val="auto"/>
              </w:rPr>
              <w:t>200 mg</w:t>
            </w:r>
          </w:p>
        </w:tc>
        <w:tc>
          <w:tcPr>
            <w:tcW w:w="7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20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1/15</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3/3</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1.63 (25)</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2 (2-2)</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rPr>
              <w:t>14.5 (18)</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1.0</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NA</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NA</w:t>
            </w:r>
          </w:p>
        </w:tc>
        <w:tc>
          <w:tcPr>
            <w:tcW w:w="0" w:type="dxa"/>
            <w:vAlign w:val="bottom"/>
          </w:tcPr>
          <w:p>
            <w:pPr>
              <w:spacing w:after="0"/>
              <w:rPr>
                <w:sz w:val="1"/>
                <w:szCs w:val="1"/>
                <w:color w:val="auto"/>
              </w:rPr>
            </w:pPr>
          </w:p>
        </w:tc>
      </w:tr>
      <w:tr>
        <w:trPr>
          <w:trHeight w:val="149"/>
        </w:trPr>
        <w:tc>
          <w:tcPr>
            <w:tcW w:w="3200" w:type="dxa"/>
            <w:vAlign w:val="bottom"/>
            <w:tcBorders>
              <w:left w:val="single" w:sz="8" w:color="auto"/>
              <w:bottom w:val="single" w:sz="8" w:color="auto"/>
              <w:right w:val="single" w:sz="8" w:color="auto"/>
            </w:tcBorders>
          </w:tcPr>
          <w:p>
            <w:pPr>
              <w:spacing w:after="0"/>
              <w:rPr>
                <w:sz w:val="12"/>
                <w:szCs w:val="12"/>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(D1, D2)</w:t>
            </w:r>
          </w:p>
        </w:tc>
        <w:tc>
          <w:tcPr>
            <w:tcW w:w="68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vMerge w:val="continue"/>
          </w:tcPr>
          <w:p>
            <w:pPr>
              <w:spacing w:after="0"/>
              <w:rPr>
                <w:sz w:val="12"/>
                <w:szCs w:val="12"/>
                <w:color w:val="auto"/>
              </w:rPr>
            </w:pPr>
          </w:p>
        </w:tc>
        <w:tc>
          <w:tcPr>
            <w:tcW w:w="1000" w:type="dxa"/>
            <w:vAlign w:val="bottom"/>
            <w:tcBorders>
              <w:bottom w:val="single" w:sz="8" w:color="auto"/>
              <w:right w:val="single" w:sz="8" w:color="auto"/>
            </w:tcBorders>
            <w:vMerge w:val="continue"/>
          </w:tcPr>
          <w:p>
            <w:pPr>
              <w:spacing w:after="0"/>
              <w:rPr>
                <w:sz w:val="12"/>
                <w:szCs w:val="12"/>
                <w:color w:val="auto"/>
              </w:rPr>
            </w:pPr>
          </w:p>
        </w:tc>
        <w:tc>
          <w:tcPr>
            <w:tcW w:w="720" w:type="dxa"/>
            <w:vAlign w:val="bottom"/>
            <w:tcBorders>
              <w:bottom w:val="single" w:sz="8" w:color="auto"/>
              <w:right w:val="single" w:sz="8" w:color="auto"/>
            </w:tcBorders>
            <w:vMerge w:val="continue"/>
          </w:tcPr>
          <w:p>
            <w:pPr>
              <w:spacing w:after="0"/>
              <w:rPr>
                <w:sz w:val="12"/>
                <w:szCs w:val="12"/>
                <w:color w:val="auto"/>
              </w:rPr>
            </w:pPr>
          </w:p>
        </w:tc>
        <w:tc>
          <w:tcPr>
            <w:tcW w:w="620" w:type="dxa"/>
            <w:vAlign w:val="bottom"/>
            <w:tcBorders>
              <w:bottom w:val="single" w:sz="8" w:color="auto"/>
              <w:right w:val="single" w:sz="8" w:color="auto"/>
            </w:tcBorders>
            <w:vMerge w:val="continue"/>
          </w:tcPr>
          <w:p>
            <w:pPr>
              <w:spacing w:after="0"/>
              <w:rPr>
                <w:sz w:val="12"/>
                <w:szCs w:val="12"/>
                <w:color w:val="auto"/>
              </w:rPr>
            </w:pPr>
          </w:p>
        </w:tc>
        <w:tc>
          <w:tcPr>
            <w:tcW w:w="66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right w:val="single" w:sz="8" w:color="auto"/>
            </w:tcBorders>
            <w:vMerge w:val="continue"/>
          </w:tcPr>
          <w:p>
            <w:pPr>
              <w:spacing w:after="0"/>
              <w:rPr>
                <w:sz w:val="12"/>
                <w:szCs w:val="12"/>
                <w:color w:val="auto"/>
              </w:rPr>
            </w:pPr>
          </w:p>
        </w:tc>
        <w:tc>
          <w:tcPr>
            <w:tcW w:w="660" w:type="dxa"/>
            <w:vAlign w:val="bottom"/>
            <w:tcBorders>
              <w:bottom w:val="single" w:sz="8" w:color="auto"/>
              <w:right w:val="single" w:sz="8" w:color="auto"/>
            </w:tcBorders>
            <w:vMerge w:val="continue"/>
          </w:tcPr>
          <w:p>
            <w:pPr>
              <w:spacing w:after="0"/>
              <w:rPr>
                <w:sz w:val="12"/>
                <w:szCs w:val="12"/>
                <w:color w:val="auto"/>
              </w:rPr>
            </w:pPr>
          </w:p>
        </w:tc>
        <w:tc>
          <w:tcPr>
            <w:tcW w:w="10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right="7060" w:hanging="4"/>
        <w:spacing w:after="0" w:line="367" w:lineRule="auto"/>
        <w:tabs>
          <w:tab w:leader="none" w:pos="210" w:val="left"/>
        </w:tabs>
        <w:numPr>
          <w:ilvl w:val="0"/>
          <w:numId w:val="66"/>
        </w:numPr>
        <w:rPr>
          <w:rFonts w:ascii="Arial" w:cs="Arial" w:eastAsia="Arial" w:hAnsi="Arial"/>
          <w:sz w:val="13"/>
          <w:szCs w:val="13"/>
          <w:i w:val="1"/>
          <w:iCs w:val="1"/>
          <w:color w:val="auto"/>
        </w:rPr>
      </w:pPr>
      <w:r>
        <w:rPr>
          <w:rFonts w:ascii="Arial" w:cs="Arial" w:eastAsia="Arial" w:hAnsi="Arial"/>
          <w:sz w:val="13"/>
          <w:szCs w:val="13"/>
          <w:i w:val="1"/>
          <w:iCs w:val="1"/>
          <w:color w:val="auto"/>
        </w:rPr>
        <w:t>Tmax value was time post D2 or D16 dosing for 200 mg (D1, D2) Data as of May 4, 2020.</w:t>
      </w:r>
    </w:p>
    <w:p>
      <w:pPr>
        <w:spacing w:after="0" w:line="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9a</w:t>
      </w:r>
      <w:r>
        <w:rPr>
          <w:rFonts w:ascii="Arial" w:cs="Arial" w:eastAsia="Arial" w:hAnsi="Arial"/>
          <w:sz w:val="18"/>
          <w:szCs w:val="18"/>
          <w:color w:val="auto"/>
        </w:rPr>
        <w:t>: Plasma Concentration over Time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86360</wp:posOffset>
            </wp:positionV>
            <wp:extent cx="2468880" cy="17145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688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PK sampled at:</w:t>
      </w:r>
    </w:p>
    <w:p>
      <w:pPr>
        <w:ind w:left="120"/>
        <w:spacing w:after="0" w:line="223"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C1D22</w:t>
      </w:r>
    </w:p>
    <w:p>
      <w:pPr>
        <w:ind w:left="120"/>
        <w:spacing w:after="0" w:line="192" w:lineRule="auto"/>
        <w:rPr>
          <w:sz w:val="20"/>
          <w:szCs w:val="20"/>
          <w:color w:val="auto"/>
        </w:rPr>
      </w:pPr>
      <w:r>
        <w:rPr>
          <w:rFonts w:ascii="Arial" w:cs="Arial" w:eastAsia="Arial" w:hAnsi="Arial"/>
          <w:sz w:val="22"/>
          <w:szCs w:val="22"/>
          <w:color w:val="auto"/>
          <w:vertAlign w:val="superscript"/>
        </w:rPr>
        <w:t>2</w:t>
      </w:r>
      <w:r>
        <w:rPr>
          <w:rFonts w:ascii="Arial" w:cs="Arial" w:eastAsia="Arial" w:hAnsi="Arial"/>
          <w:sz w:val="13"/>
          <w:szCs w:val="13"/>
          <w:color w:val="auto"/>
        </w:rPr>
        <w:t>Post-C1D1 dosing and C1D8 trough (~168 h)</w:t>
      </w:r>
    </w:p>
    <w:p>
      <w:pPr>
        <w:ind w:left="120"/>
        <w:spacing w:after="0" w:line="211" w:lineRule="auto"/>
        <w:rPr>
          <w:sz w:val="20"/>
          <w:szCs w:val="20"/>
          <w:color w:val="auto"/>
        </w:rPr>
      </w:pPr>
      <w:r>
        <w:rPr>
          <w:rFonts w:ascii="Arial" w:cs="Arial" w:eastAsia="Arial" w:hAnsi="Arial"/>
          <w:sz w:val="22"/>
          <w:szCs w:val="22"/>
          <w:color w:val="auto"/>
          <w:vertAlign w:val="superscript"/>
        </w:rPr>
        <w:t>3</w:t>
      </w:r>
      <w:r>
        <w:rPr>
          <w:rFonts w:ascii="Arial" w:cs="Arial" w:eastAsia="Arial" w:hAnsi="Arial"/>
          <w:sz w:val="13"/>
          <w:szCs w:val="13"/>
          <w:color w:val="auto"/>
        </w:rPr>
        <w:t>Post-C1D1 and C1D2 dosing and C1D8 trough (~168 h)</w:t>
      </w:r>
    </w:p>
    <w:p>
      <w:pPr>
        <w:spacing w:after="0" w:line="1" w:lineRule="exact"/>
        <w:rPr>
          <w:sz w:val="20"/>
          <w:szCs w:val="20"/>
          <w:color w:val="auto"/>
        </w:rPr>
      </w:pPr>
    </w:p>
    <w:p>
      <w:pPr>
        <w:ind w:left="120"/>
        <w:spacing w:after="0" w:line="181" w:lineRule="auto"/>
        <w:rPr>
          <w:sz w:val="20"/>
          <w:szCs w:val="20"/>
          <w:color w:val="auto"/>
        </w:rPr>
      </w:pPr>
      <w:r>
        <w:rPr>
          <w:rFonts w:ascii="Arial" w:cs="Arial" w:eastAsia="Arial" w:hAnsi="Arial"/>
          <w:sz w:val="13"/>
          <w:szCs w:val="13"/>
          <w:color w:val="auto"/>
        </w:rPr>
        <w:t xml:space="preserve">RMC-4630 was dosed daily at 60 mg or intermittent twice weekly at 140 mg (D1, D4) or 200 mg (D1, D2). For 60 mg daily dosing, plasma concentration profile was from Cycle 1 Day 22 (steady state). For 140 mg (D1, D4) and 200 mg (D1, D2) schedules, plasma concentration profiles from week 1 are presented. No accumulation was observed following twice weekly dosing. The dotted lines on the plot indicate the cytostatic and apoptotic thresholds and represent the approximate plasma concentrations required to inhibit RAS pathway activity in tumor xenograft models in mice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by 50% (EC</w:t>
      </w:r>
      <w:r>
        <w:rPr>
          <w:rFonts w:ascii="Arial" w:cs="Arial" w:eastAsia="Arial" w:hAnsi="Arial"/>
          <w:sz w:val="11"/>
          <w:szCs w:val="11"/>
          <w:color w:val="auto"/>
        </w:rPr>
        <w:t>50</w:t>
      </w:r>
      <w:r>
        <w:rPr>
          <w:rFonts w:ascii="Arial" w:cs="Arial" w:eastAsia="Arial" w:hAnsi="Arial"/>
          <w:sz w:val="13"/>
          <w:szCs w:val="13"/>
          <w:color w:val="auto"/>
        </w:rPr>
        <w:t>) and 75% (EC</w:t>
      </w:r>
      <w:r>
        <w:rPr>
          <w:rFonts w:ascii="Arial" w:cs="Arial" w:eastAsia="Arial" w:hAnsi="Arial"/>
          <w:sz w:val="11"/>
          <w:szCs w:val="11"/>
          <w:color w:val="auto"/>
        </w:rPr>
        <w:t>75</w:t>
      </w:r>
      <w:r>
        <w:rPr>
          <w:rFonts w:ascii="Arial" w:cs="Arial" w:eastAsia="Arial" w:hAnsi="Arial"/>
          <w:sz w:val="13"/>
          <w:szCs w:val="13"/>
          <w:color w:val="auto"/>
        </w:rPr>
        <w:t xml:space="preserve">) respectively. These thresholds are based on the preclinical anti-tumor activity of RMC-4630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in the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xenograft model. Lower doses of RMC-4630 (10 mg/kg daily) produced durable coverage (12-16 hr) over the EC</w:t>
      </w:r>
      <w:r>
        <w:rPr>
          <w:rFonts w:ascii="Arial" w:cs="Arial" w:eastAsia="Arial" w:hAnsi="Arial"/>
          <w:sz w:val="22"/>
          <w:szCs w:val="22"/>
          <w:color w:val="auto"/>
          <w:vertAlign w:val="subscript"/>
        </w:rPr>
        <w:t>50</w:t>
      </w:r>
      <w:r>
        <w:rPr>
          <w:rFonts w:ascii="Arial" w:cs="Arial" w:eastAsia="Arial" w:hAnsi="Arial"/>
          <w:sz w:val="13"/>
          <w:szCs w:val="13"/>
          <w:color w:val="auto"/>
        </w:rPr>
        <w:t xml:space="preserve"> but did not exceed the EC</w:t>
      </w:r>
      <w:r>
        <w:rPr>
          <w:rFonts w:ascii="Arial" w:cs="Arial" w:eastAsia="Arial" w:hAnsi="Arial"/>
          <w:sz w:val="22"/>
          <w:szCs w:val="22"/>
          <w:color w:val="auto"/>
          <w:vertAlign w:val="subscript"/>
        </w:rPr>
        <w:t>75</w:t>
      </w:r>
      <w:r>
        <w:rPr>
          <w:rFonts w:ascii="Arial" w:cs="Arial" w:eastAsia="Arial" w:hAnsi="Arial"/>
          <w:sz w:val="13"/>
          <w:szCs w:val="13"/>
          <w:color w:val="auto"/>
        </w:rPr>
        <w:t xml:space="preserve"> and were associated with tumor growth inhibition (cytostatic threshold) but not regressions. Tumor regressions (apoptotic threshold) were observed for higher doses (30 mg/kg daily) at which the plasma exposures exceeded the EC</w:t>
      </w:r>
      <w:r>
        <w:rPr>
          <w:rFonts w:ascii="Arial" w:cs="Arial" w:eastAsia="Arial" w:hAnsi="Arial"/>
          <w:sz w:val="11"/>
          <w:szCs w:val="11"/>
          <w:color w:val="auto"/>
        </w:rPr>
        <w:t>75</w:t>
      </w:r>
      <w:r>
        <w:rPr>
          <w:rFonts w:ascii="Arial" w:cs="Arial" w:eastAsia="Arial" w:hAnsi="Arial"/>
          <w:sz w:val="13"/>
          <w:szCs w:val="13"/>
          <w:color w:val="auto"/>
        </w:rPr>
        <w:t xml:space="preserve"> for 4-6 hr and the EC</w:t>
      </w:r>
      <w:r>
        <w:rPr>
          <w:rFonts w:ascii="Arial" w:cs="Arial" w:eastAsia="Arial" w:hAnsi="Arial"/>
          <w:sz w:val="11"/>
          <w:szCs w:val="11"/>
          <w:color w:val="auto"/>
        </w:rPr>
        <w:t>50</w:t>
      </w:r>
      <w:r>
        <w:rPr>
          <w:rFonts w:ascii="Arial" w:cs="Arial" w:eastAsia="Arial" w:hAnsi="Arial"/>
          <w:sz w:val="13"/>
          <w:szCs w:val="13"/>
          <w:color w:val="auto"/>
        </w:rPr>
        <w:t xml:space="preserve"> for the entire dosing interval. A single dose of 30 mg/kg of RMC-4630 has been shown to induce apoptosis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in the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pancreatic tumor cell line MIA PaCa-2. The actual plasma concentration at which cell death (apoptosis) may occur may vary from tumor to tumor. It should be noted also that in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studies the induction of apoptosis in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tumor cell lines is both concentration and time-dependent. Characterization of RAS pathway activation has not been performed for normal tissue. However, in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rodent studies, lower trough plasma concentrations (below EC</w:t>
      </w:r>
      <w:r>
        <w:rPr>
          <w:rFonts w:ascii="Arial" w:cs="Arial" w:eastAsia="Arial" w:hAnsi="Arial"/>
          <w:sz w:val="22"/>
          <w:szCs w:val="22"/>
          <w:color w:val="auto"/>
          <w:vertAlign w:val="subscript"/>
        </w:rPr>
        <w:t>50</w:t>
      </w:r>
      <w:r>
        <w:rPr>
          <w:rFonts w:ascii="Arial" w:cs="Arial" w:eastAsia="Arial" w:hAnsi="Arial"/>
          <w:sz w:val="13"/>
          <w:szCs w:val="13"/>
          <w:color w:val="auto"/>
        </w:rPr>
        <w:t xml:space="preserve"> ) have been associated with improved tolerability.</w:t>
      </w:r>
    </w:p>
    <w:p>
      <w:pPr>
        <w:spacing w:after="0" w:line="57" w:lineRule="exact"/>
        <w:rPr>
          <w:sz w:val="20"/>
          <w:szCs w:val="20"/>
          <w:color w:val="auto"/>
        </w:rPr>
      </w:pPr>
    </w:p>
    <w:p>
      <w:pPr>
        <w:ind w:left="120" w:right="100"/>
        <w:spacing w:after="0" w:line="264" w:lineRule="auto"/>
        <w:rPr>
          <w:sz w:val="20"/>
          <w:szCs w:val="20"/>
          <w:color w:val="auto"/>
        </w:rPr>
      </w:pPr>
      <w:r>
        <w:rPr>
          <w:rFonts w:ascii="Arial" w:cs="Arial" w:eastAsia="Arial" w:hAnsi="Arial"/>
          <w:sz w:val="18"/>
          <w:szCs w:val="18"/>
          <w:b w:val="1"/>
          <w:bCs w:val="1"/>
          <w:color w:val="auto"/>
        </w:rPr>
        <w:t>Figure 9b</w:t>
      </w:r>
      <w:r>
        <w:rPr>
          <w:rFonts w:ascii="Arial" w:cs="Arial" w:eastAsia="Arial" w:hAnsi="Arial"/>
          <w:sz w:val="18"/>
          <w:szCs w:val="18"/>
          <w:color w:val="auto"/>
        </w:rPr>
        <w:t>: Schematic representation of RMC-4630 pharmacokinetics at three tolerated dose schedules with peak and trough concentrations</w:t>
      </w:r>
      <w:r>
        <w:rPr>
          <w:rFonts w:ascii="Arial" w:cs="Arial" w:eastAsia="Arial" w:hAnsi="Arial"/>
          <w:sz w:val="18"/>
          <w:szCs w:val="18"/>
          <w:b w:val="1"/>
          <w:bCs w:val="1"/>
          <w:color w:val="auto"/>
        </w:rPr>
        <w:t xml:space="preserve"> </w:t>
      </w:r>
      <w:r>
        <w:rPr>
          <w:rFonts w:ascii="Arial" w:cs="Arial" w:eastAsia="Arial" w:hAnsi="Arial"/>
          <w:sz w:val="18"/>
          <w:szCs w:val="18"/>
          <w:color w:val="auto"/>
        </w:rPr>
        <w:t>of RMC-4630 derived from the data from Figure 9a and 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133985</wp:posOffset>
            </wp:positionV>
            <wp:extent cx="4894580" cy="22199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9458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right="20"/>
        <w:spacing w:after="0" w:line="248" w:lineRule="auto"/>
        <w:rPr>
          <w:sz w:val="20"/>
          <w:szCs w:val="20"/>
          <w:color w:val="auto"/>
        </w:rPr>
      </w:pPr>
      <w:r>
        <w:rPr>
          <w:rFonts w:ascii="Arial" w:cs="Arial" w:eastAsia="Arial" w:hAnsi="Arial"/>
          <w:sz w:val="13"/>
          <w:szCs w:val="13"/>
          <w:color w:val="auto"/>
        </w:rPr>
        <w:t>Schematic depiction of the pharmacokinetic profiles in humans of three tolerated dosing regimens; daily at 60 mg, intermittent twice weekly at 140 mg (D1, D4) and intermittent twice weekly at 200 mg (D1, D2). Blue bars indicate the Cmax and Trough plasma concentrations for the respective dose regimens (see also Table 4 and Figure 9a). Pharmacokinetic profiles for the 60 mg daily group were available from N=11. The cytostatic and apoptotic thresholds are defined in the legend to Figure 9a.</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Forty-nine patients have been treated in RMC-4630-01 with the daily schedule. Median RMC-4630 exposure is 1.8 months (range 0.0-16.3 months). Demographic and baseline characteristics information is shown in Table 5.</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5</w:t>
      </w:r>
      <w:r>
        <w:rPr>
          <w:rFonts w:ascii="Arial" w:cs="Arial" w:eastAsia="Arial" w:hAnsi="Arial"/>
          <w:sz w:val="18"/>
          <w:szCs w:val="18"/>
          <w:color w:val="auto"/>
        </w:rPr>
        <w:t>: Demographics and baseline characteristics—daily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080" w:type="dxa"/>
            <w:vAlign w:val="bottom"/>
          </w:tcPr>
          <w:p>
            <w:pPr>
              <w:jc w:val="right"/>
              <w:ind w:right="72"/>
              <w:spacing w:after="0"/>
              <w:rPr>
                <w:sz w:val="20"/>
                <w:szCs w:val="20"/>
                <w:color w:val="auto"/>
              </w:rPr>
            </w:pPr>
            <w:r>
              <w:rPr>
                <w:rFonts w:ascii="Arial" w:cs="Arial" w:eastAsia="Arial" w:hAnsi="Arial"/>
                <w:sz w:val="18"/>
                <w:szCs w:val="18"/>
                <w:b w:val="1"/>
                <w:bCs w:val="1"/>
                <w:color w:val="auto"/>
              </w:rPr>
              <w:t>20 mg</w:t>
            </w: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rPr>
              <w:t>40 mg</w:t>
            </w:r>
          </w:p>
        </w:tc>
        <w:tc>
          <w:tcPr>
            <w:tcW w:w="1420" w:type="dxa"/>
            <w:vAlign w:val="bottom"/>
          </w:tcPr>
          <w:p>
            <w:pPr>
              <w:jc w:val="right"/>
              <w:ind w:right="92"/>
              <w:spacing w:after="0"/>
              <w:rPr>
                <w:sz w:val="20"/>
                <w:szCs w:val="20"/>
                <w:color w:val="auto"/>
              </w:rPr>
            </w:pPr>
            <w:r>
              <w:rPr>
                <w:rFonts w:ascii="Arial" w:cs="Arial" w:eastAsia="Arial" w:hAnsi="Arial"/>
                <w:sz w:val="18"/>
                <w:szCs w:val="18"/>
                <w:b w:val="1"/>
                <w:bCs w:val="1"/>
                <w:color w:val="auto"/>
              </w:rPr>
              <w:t>60 mg</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80 mg</w:t>
            </w:r>
          </w:p>
        </w:tc>
      </w:tr>
      <w:tr>
        <w:trPr>
          <w:trHeight w:val="234"/>
        </w:trPr>
        <w:tc>
          <w:tcPr>
            <w:tcW w:w="4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(N=12)</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(N=13)</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(N=18)</w:t>
            </w: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(N=6)</w:t>
            </w:r>
          </w:p>
        </w:tc>
      </w:tr>
      <w:tr>
        <w:trPr>
          <w:trHeight w:val="197"/>
        </w:trPr>
        <w:tc>
          <w:tcPr>
            <w:tcW w:w="470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2080" w:type="dxa"/>
            <w:vAlign w:val="bottom"/>
            <w:shd w:val="clear" w:color="auto" w:fill="CCEEFF"/>
          </w:tcPr>
          <w:p>
            <w:pPr>
              <w:jc w:val="center"/>
              <w:ind w:left="472"/>
              <w:spacing w:after="0" w:line="197" w:lineRule="exact"/>
              <w:rPr>
                <w:sz w:val="20"/>
                <w:szCs w:val="20"/>
                <w:color w:val="auto"/>
              </w:rPr>
            </w:pPr>
            <w:r>
              <w:rPr>
                <w:rFonts w:ascii="Arial" w:cs="Arial" w:eastAsia="Arial" w:hAnsi="Arial"/>
                <w:sz w:val="18"/>
                <w:szCs w:val="18"/>
                <w:color w:val="auto"/>
                <w:w w:val="97"/>
              </w:rPr>
              <w:t>62.5 (34-76)</w:t>
            </w:r>
          </w:p>
        </w:tc>
        <w:tc>
          <w:tcPr>
            <w:tcW w:w="1460" w:type="dxa"/>
            <w:vAlign w:val="bottom"/>
            <w:shd w:val="clear" w:color="auto" w:fill="CCEEFF"/>
          </w:tcPr>
          <w:p>
            <w:pPr>
              <w:jc w:val="center"/>
              <w:ind w:right="12"/>
              <w:spacing w:after="0" w:line="197" w:lineRule="exact"/>
              <w:rPr>
                <w:sz w:val="20"/>
                <w:szCs w:val="20"/>
                <w:color w:val="auto"/>
              </w:rPr>
            </w:pPr>
            <w:r>
              <w:rPr>
                <w:rFonts w:ascii="Arial" w:cs="Arial" w:eastAsia="Arial" w:hAnsi="Arial"/>
                <w:sz w:val="18"/>
                <w:szCs w:val="18"/>
                <w:color w:val="auto"/>
                <w:w w:val="96"/>
              </w:rPr>
              <w:t>65.0 (45- 84)</w:t>
            </w:r>
          </w:p>
        </w:tc>
        <w:tc>
          <w:tcPr>
            <w:tcW w:w="1420" w:type="dxa"/>
            <w:vAlign w:val="bottom"/>
            <w:shd w:val="clear" w:color="auto" w:fill="CCEEFF"/>
          </w:tcPr>
          <w:p>
            <w:pPr>
              <w:jc w:val="center"/>
              <w:ind w:right="12"/>
              <w:spacing w:after="0" w:line="197" w:lineRule="exact"/>
              <w:rPr>
                <w:sz w:val="20"/>
                <w:szCs w:val="20"/>
                <w:color w:val="auto"/>
              </w:rPr>
            </w:pPr>
            <w:r>
              <w:rPr>
                <w:rFonts w:ascii="Arial" w:cs="Arial" w:eastAsia="Arial" w:hAnsi="Arial"/>
                <w:sz w:val="18"/>
                <w:szCs w:val="18"/>
                <w:color w:val="auto"/>
                <w:w w:val="97"/>
              </w:rPr>
              <w:t>60.5 (47-82)</w:t>
            </w:r>
          </w:p>
        </w:tc>
        <w:tc>
          <w:tcPr>
            <w:tcW w:w="128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5"/>
              </w:rPr>
              <w:t>62.0 (40-75)</w:t>
            </w:r>
          </w:p>
        </w:tc>
        <w:tc>
          <w:tcPr>
            <w:tcW w:w="80" w:type="dxa"/>
            <w:vAlign w:val="bottom"/>
            <w:shd w:val="clear" w:color="auto" w:fill="CCEEFF"/>
          </w:tcPr>
          <w:p>
            <w:pPr>
              <w:spacing w:after="0"/>
              <w:rPr>
                <w:sz w:val="17"/>
                <w:szCs w:val="17"/>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Male</w:t>
            </w:r>
          </w:p>
        </w:tc>
        <w:tc>
          <w:tcPr>
            <w:tcW w:w="2080" w:type="dxa"/>
            <w:vAlign w:val="bottom"/>
          </w:tcPr>
          <w:p>
            <w:pPr>
              <w:jc w:val="center"/>
              <w:ind w:left="472"/>
              <w:spacing w:after="0"/>
              <w:rPr>
                <w:sz w:val="20"/>
                <w:szCs w:val="20"/>
                <w:color w:val="auto"/>
              </w:rPr>
            </w:pPr>
            <w:r>
              <w:rPr>
                <w:rFonts w:ascii="Arial" w:cs="Arial" w:eastAsia="Arial" w:hAnsi="Arial"/>
                <w:sz w:val="18"/>
                <w:szCs w:val="18"/>
                <w:color w:val="auto"/>
                <w:w w:val="97"/>
              </w:rPr>
              <w:t>9 (75.0%)</w:t>
            </w:r>
          </w:p>
        </w:tc>
        <w:tc>
          <w:tcPr>
            <w:tcW w:w="1460" w:type="dxa"/>
            <w:vAlign w:val="bottom"/>
          </w:tcPr>
          <w:p>
            <w:pPr>
              <w:jc w:val="center"/>
              <w:ind w:right="12"/>
              <w:spacing w:after="0"/>
              <w:rPr>
                <w:sz w:val="20"/>
                <w:szCs w:val="20"/>
                <w:color w:val="auto"/>
              </w:rPr>
            </w:pPr>
            <w:r>
              <w:rPr>
                <w:rFonts w:ascii="Arial" w:cs="Arial" w:eastAsia="Arial" w:hAnsi="Arial"/>
                <w:sz w:val="18"/>
                <w:szCs w:val="18"/>
                <w:color w:val="auto"/>
                <w:w w:val="97"/>
              </w:rPr>
              <w:t>8 (61.5%)</w:t>
            </w:r>
          </w:p>
        </w:tc>
        <w:tc>
          <w:tcPr>
            <w:tcW w:w="1420" w:type="dxa"/>
            <w:vAlign w:val="bottom"/>
          </w:tcPr>
          <w:p>
            <w:pPr>
              <w:jc w:val="center"/>
              <w:ind w:right="12"/>
              <w:spacing w:after="0"/>
              <w:rPr>
                <w:sz w:val="20"/>
                <w:szCs w:val="20"/>
                <w:color w:val="auto"/>
              </w:rPr>
            </w:pPr>
            <w:r>
              <w:rPr>
                <w:rFonts w:ascii="Arial" w:cs="Arial" w:eastAsia="Arial" w:hAnsi="Arial"/>
                <w:sz w:val="18"/>
                <w:szCs w:val="18"/>
                <w:color w:val="auto"/>
                <w:w w:val="97"/>
              </w:rPr>
              <w:t>9 (50.0%)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1 (16.7%)</w:t>
            </w:r>
          </w:p>
        </w:tc>
        <w:tc>
          <w:tcPr>
            <w:tcW w:w="80" w:type="dxa"/>
            <w:vAlign w:val="bottom"/>
          </w:tcPr>
          <w:p>
            <w:pPr>
              <w:spacing w:after="0"/>
              <w:rPr>
                <w:sz w:val="18"/>
                <w:szCs w:val="18"/>
                <w:color w:val="auto"/>
              </w:rPr>
            </w:pPr>
          </w:p>
        </w:tc>
      </w:tr>
      <w:tr>
        <w:trPr>
          <w:trHeight w:val="56"/>
        </w:trPr>
        <w:tc>
          <w:tcPr>
            <w:tcW w:w="4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2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Lung</w:t>
            </w:r>
          </w:p>
        </w:tc>
        <w:tc>
          <w:tcPr>
            <w:tcW w:w="2080" w:type="dxa"/>
            <w:vAlign w:val="bottom"/>
          </w:tcPr>
          <w:p>
            <w:pPr>
              <w:jc w:val="center"/>
              <w:ind w:left="47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10 (55.6%)</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1 (16.7%)</w:t>
            </w:r>
          </w:p>
        </w:tc>
        <w:tc>
          <w:tcPr>
            <w:tcW w:w="80" w:type="dxa"/>
            <w:vAlign w:val="bottom"/>
          </w:tcPr>
          <w:p>
            <w:pPr>
              <w:spacing w:after="0"/>
              <w:rPr>
                <w:sz w:val="17"/>
                <w:szCs w:val="17"/>
                <w:color w:val="auto"/>
              </w:rPr>
            </w:pPr>
          </w:p>
        </w:tc>
      </w:tr>
      <w:tr>
        <w:trPr>
          <w:trHeight w:val="202"/>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Colon and/or Rectal</w:t>
            </w:r>
          </w:p>
        </w:tc>
        <w:tc>
          <w:tcPr>
            <w:tcW w:w="2080" w:type="dxa"/>
            <w:vAlign w:val="bottom"/>
            <w:shd w:val="clear" w:color="auto" w:fill="CCEEFF"/>
          </w:tcPr>
          <w:p>
            <w:pPr>
              <w:jc w:val="center"/>
              <w:ind w:left="472"/>
              <w:spacing w:after="0" w:line="202" w:lineRule="exact"/>
              <w:rPr>
                <w:sz w:val="20"/>
                <w:szCs w:val="20"/>
                <w:color w:val="auto"/>
              </w:rPr>
            </w:pPr>
            <w:r>
              <w:rPr>
                <w:rFonts w:ascii="Arial" w:cs="Arial" w:eastAsia="Arial" w:hAnsi="Arial"/>
                <w:sz w:val="18"/>
                <w:szCs w:val="18"/>
                <w:color w:val="auto"/>
                <w:w w:val="97"/>
              </w:rPr>
              <w:t>3 (25.0%)</w:t>
            </w:r>
          </w:p>
        </w:tc>
        <w:tc>
          <w:tcPr>
            <w:tcW w:w="146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5 (38.5%)</w:t>
            </w:r>
          </w:p>
        </w:tc>
        <w:tc>
          <w:tcPr>
            <w:tcW w:w="14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5 (27.8%)</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 (50.0%)</w:t>
            </w:r>
          </w:p>
        </w:tc>
        <w:tc>
          <w:tcPr>
            <w:tcW w:w="80" w:type="dxa"/>
            <w:vAlign w:val="bottom"/>
            <w:shd w:val="clear" w:color="auto" w:fill="CCEEFF"/>
          </w:tcPr>
          <w:p>
            <w:pPr>
              <w:spacing w:after="0"/>
              <w:rPr>
                <w:sz w:val="17"/>
                <w:szCs w:val="17"/>
                <w:color w:val="auto"/>
              </w:rPr>
            </w:pPr>
          </w:p>
        </w:tc>
      </w:tr>
      <w:tr>
        <w:trPr>
          <w:trHeight w:val="214"/>
        </w:trPr>
        <w:tc>
          <w:tcPr>
            <w:tcW w:w="4700" w:type="dxa"/>
            <w:vAlign w:val="bottom"/>
          </w:tcPr>
          <w:p>
            <w:pPr>
              <w:ind w:left="220"/>
              <w:spacing w:after="0"/>
              <w:rPr>
                <w:sz w:val="20"/>
                <w:szCs w:val="20"/>
                <w:color w:val="auto"/>
              </w:rPr>
            </w:pPr>
            <w:r>
              <w:rPr>
                <w:rFonts w:ascii="Arial" w:cs="Arial" w:eastAsia="Arial" w:hAnsi="Arial"/>
                <w:sz w:val="18"/>
                <w:szCs w:val="18"/>
                <w:color w:val="auto"/>
              </w:rPr>
              <w:t>Other</w:t>
            </w:r>
          </w:p>
        </w:tc>
        <w:tc>
          <w:tcPr>
            <w:tcW w:w="2080" w:type="dxa"/>
            <w:vAlign w:val="bottom"/>
          </w:tcPr>
          <w:p>
            <w:pPr>
              <w:jc w:val="center"/>
              <w:ind w:left="472"/>
              <w:spacing w:after="0"/>
              <w:rPr>
                <w:sz w:val="20"/>
                <w:szCs w:val="20"/>
                <w:color w:val="auto"/>
              </w:rPr>
            </w:pPr>
            <w:r>
              <w:rPr>
                <w:rFonts w:ascii="Arial" w:cs="Arial" w:eastAsia="Arial" w:hAnsi="Arial"/>
                <w:sz w:val="18"/>
                <w:szCs w:val="18"/>
                <w:color w:val="auto"/>
                <w:w w:val="97"/>
              </w:rPr>
              <w:t>3 (25.0%)</w:t>
            </w:r>
          </w:p>
        </w:tc>
        <w:tc>
          <w:tcPr>
            <w:tcW w:w="1460" w:type="dxa"/>
            <w:vAlign w:val="bottom"/>
          </w:tcPr>
          <w:p>
            <w:pPr>
              <w:jc w:val="center"/>
              <w:ind w:right="12"/>
              <w:spacing w:after="0"/>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12"/>
              <w:spacing w:after="0"/>
              <w:rPr>
                <w:sz w:val="20"/>
                <w:szCs w:val="20"/>
                <w:color w:val="auto"/>
              </w:rPr>
            </w:pPr>
            <w:r>
              <w:rPr>
                <w:rFonts w:ascii="Arial" w:cs="Arial" w:eastAsia="Arial" w:hAnsi="Arial"/>
                <w:sz w:val="18"/>
                <w:szCs w:val="18"/>
                <w:color w:val="auto"/>
                <w:w w:val="97"/>
              </w:rPr>
              <w:t>3 (16.7%)</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 (33.3%)</w:t>
            </w:r>
          </w:p>
        </w:tc>
        <w:tc>
          <w:tcPr>
            <w:tcW w:w="80" w:type="dxa"/>
            <w:vAlign w:val="bottom"/>
          </w:tcPr>
          <w:p>
            <w:pPr>
              <w:spacing w:after="0"/>
              <w:rPr>
                <w:sz w:val="18"/>
                <w:szCs w:val="18"/>
                <w:color w:val="auto"/>
              </w:rPr>
            </w:pPr>
          </w:p>
        </w:tc>
      </w:tr>
      <w:tr>
        <w:trPr>
          <w:trHeight w:val="56"/>
        </w:trPr>
        <w:tc>
          <w:tcPr>
            <w:tcW w:w="47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2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0</w:t>
            </w:r>
          </w:p>
        </w:tc>
        <w:tc>
          <w:tcPr>
            <w:tcW w:w="2080" w:type="dxa"/>
            <w:vAlign w:val="bottom"/>
          </w:tcPr>
          <w:p>
            <w:pPr>
              <w:jc w:val="center"/>
              <w:ind w:left="47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3 (23.1%)</w:t>
            </w:r>
          </w:p>
        </w:tc>
        <w:tc>
          <w:tcPr>
            <w:tcW w:w="14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6 (33.3%)</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9"/>
              </w:rPr>
              <w:t>3 (50.0%)</w:t>
            </w:r>
          </w:p>
        </w:tc>
        <w:tc>
          <w:tcPr>
            <w:tcW w:w="80" w:type="dxa"/>
            <w:vAlign w:val="bottom"/>
          </w:tcPr>
          <w:p>
            <w:pPr>
              <w:spacing w:after="0"/>
              <w:rPr>
                <w:sz w:val="17"/>
                <w:szCs w:val="17"/>
                <w:color w:val="auto"/>
              </w:rPr>
            </w:pPr>
          </w:p>
        </w:tc>
      </w:tr>
      <w:tr>
        <w:trPr>
          <w:trHeight w:val="203"/>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w:t>
            </w:r>
          </w:p>
        </w:tc>
        <w:tc>
          <w:tcPr>
            <w:tcW w:w="2080" w:type="dxa"/>
            <w:vAlign w:val="bottom"/>
            <w:shd w:val="clear" w:color="auto" w:fill="CCEEFF"/>
          </w:tcPr>
          <w:p>
            <w:pPr>
              <w:jc w:val="center"/>
              <w:ind w:left="47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10 (76.9%)</w:t>
            </w:r>
          </w:p>
        </w:tc>
        <w:tc>
          <w:tcPr>
            <w:tcW w:w="142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12 (66.7%)</w:t>
            </w:r>
          </w:p>
        </w:tc>
        <w:tc>
          <w:tcPr>
            <w:tcW w:w="12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 (50.0%)</w:t>
            </w:r>
          </w:p>
        </w:tc>
        <w:tc>
          <w:tcPr>
            <w:tcW w:w="80" w:type="dxa"/>
            <w:vAlign w:val="bottom"/>
            <w:shd w:val="clear" w:color="auto" w:fill="CCEEFF"/>
          </w:tcPr>
          <w:p>
            <w:pPr>
              <w:spacing w:after="0"/>
              <w:rPr>
                <w:sz w:val="17"/>
                <w:szCs w:val="17"/>
                <w:color w:val="auto"/>
              </w:rPr>
            </w:pPr>
          </w:p>
        </w:tc>
      </w:tr>
      <w:tr>
        <w:trPr>
          <w:trHeight w:val="215"/>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 of prior cancer therapies, median (range)</w:t>
            </w:r>
          </w:p>
        </w:tc>
        <w:tc>
          <w:tcPr>
            <w:tcW w:w="208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97"/>
              </w:rPr>
              <w:t>3.0 (1-11)</w:t>
            </w:r>
          </w:p>
        </w:tc>
        <w:tc>
          <w:tcPr>
            <w:tcW w:w="14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7"/>
              </w:rPr>
              <w:t>4.0 (2-11)</w:t>
            </w:r>
          </w:p>
        </w:tc>
        <w:tc>
          <w:tcPr>
            <w:tcW w:w="14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7"/>
              </w:rPr>
              <w:t>5.0 (1-11)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4.5 (2-8)</w:t>
            </w:r>
          </w:p>
        </w:tc>
        <w:tc>
          <w:tcPr>
            <w:tcW w:w="80" w:type="dxa"/>
            <w:vAlign w:val="bottom"/>
          </w:tcPr>
          <w:p>
            <w:pPr>
              <w:spacing w:after="0"/>
              <w:rPr>
                <w:sz w:val="18"/>
                <w:szCs w:val="18"/>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spacing w:after="0" w:line="67" w:lineRule="exact"/>
        <w:rPr>
          <w:sz w:val="20"/>
          <w:szCs w:val="20"/>
          <w:color w:val="auto"/>
        </w:rPr>
      </w:pPr>
    </w:p>
    <w:p>
      <w:pPr>
        <w:ind w:left="120" w:right="60"/>
        <w:spacing w:after="0" w:line="258" w:lineRule="auto"/>
        <w:rPr>
          <w:sz w:val="20"/>
          <w:szCs w:val="20"/>
          <w:color w:val="auto"/>
        </w:rPr>
      </w:pPr>
      <w:r>
        <w:rPr>
          <w:rFonts w:ascii="Arial" w:cs="Arial" w:eastAsia="Arial" w:hAnsi="Arial"/>
          <w:sz w:val="13"/>
          <w:szCs w:val="13"/>
          <w:color w:val="auto"/>
        </w:rPr>
        <w:t>The ECOG (Eastern Cooperative Oncology Group) performance status is a scale often used to describe patients’ level of functioning in terms of their ability to care for themselves, daily activity, and physical ability (walking, working, etc.).</w:t>
      </w:r>
    </w:p>
    <w:p>
      <w:pPr>
        <w:spacing w:after="0" w:line="87"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Although both dosing regimens have been reasonably well tolerated, daily dosing has been associated with more frequent and severe AEs than the intermittent schedule. As with the intermittent schedule, the safety profile from the daily dosing schedule has been consistent with the mechanistic effects of the product candidate on SHP2 and the RAS signaling pathways. We have not determined a maximum tolerated dose for daily dosing, although dose escalation will not continue beyond the 80 mg daily level already evaluated. If further development with this schedule was pursued, we expect the recommended Phase 2 dose for the daily schedule would be 60 mg daily.</w:t>
      </w:r>
    </w:p>
    <w:p>
      <w:pPr>
        <w:spacing w:after="0" w:line="78"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Treatment-related AEs occurring in greater than or equal to 10% of patients who received the daily schedule are shown in Table 6. No toxicities consistent with ‘off-target’ effects have been reported. Increases in liver enzymes such as alanine transaminase and aspartate transaminase have been observed at all grades. These have been attributed, wholly or in part, to RMC-4630 in 10.2% or 18.4% of patients treated with the daily schedule, respectively. In two patients, the increase in alanine transaminase or aspartate transaminase was either grade 3 or grade 4.</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6</w:t>
      </w:r>
      <w:r>
        <w:rPr>
          <w:rFonts w:ascii="Arial" w:cs="Arial" w:eastAsia="Arial" w:hAnsi="Arial"/>
          <w:sz w:val="18"/>
          <w:szCs w:val="18"/>
          <w:color w:val="auto"/>
        </w:rPr>
        <w:t>: 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 – 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Overall (N=49)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360" w:type="dxa"/>
            <w:vAlign w:val="bottom"/>
          </w:tcPr>
          <w:p>
            <w:pPr>
              <w:jc w:val="right"/>
              <w:ind w:right="52"/>
              <w:spacing w:after="0"/>
              <w:rPr>
                <w:sz w:val="20"/>
                <w:szCs w:val="20"/>
                <w:color w:val="auto"/>
              </w:rPr>
            </w:pPr>
            <w:r>
              <w:rPr>
                <w:rFonts w:ascii="Arial" w:cs="Arial" w:eastAsia="Arial" w:hAnsi="Arial"/>
                <w:sz w:val="18"/>
                <w:szCs w:val="18"/>
                <w:b w:val="1"/>
                <w:bCs w:val="1"/>
                <w:color w:val="auto"/>
              </w:rPr>
              <w:t>Any</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1200" w:type="dxa"/>
            <w:vAlign w:val="bottom"/>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1180" w:type="dxa"/>
            <w:vAlign w:val="bottom"/>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Grade</w:t>
            </w: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Preferred Term</w:t>
            </w:r>
          </w:p>
        </w:tc>
        <w:tc>
          <w:tcPr>
            <w:tcW w:w="23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r>
      <w:tr>
        <w:trPr>
          <w:trHeight w:val="196"/>
        </w:trPr>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Thrombocytopenias (SMQ)*</w:t>
            </w:r>
          </w:p>
        </w:tc>
        <w:tc>
          <w:tcPr>
            <w:tcW w:w="2360" w:type="dxa"/>
            <w:vAlign w:val="bottom"/>
            <w:shd w:val="clear" w:color="auto" w:fill="CCEEFF"/>
          </w:tcPr>
          <w:p>
            <w:pPr>
              <w:jc w:val="center"/>
              <w:ind w:left="772"/>
              <w:spacing w:after="0" w:line="196" w:lineRule="exact"/>
              <w:rPr>
                <w:sz w:val="20"/>
                <w:szCs w:val="20"/>
                <w:color w:val="auto"/>
              </w:rPr>
            </w:pPr>
            <w:r>
              <w:rPr>
                <w:rFonts w:ascii="Arial" w:cs="Arial" w:eastAsia="Arial" w:hAnsi="Arial"/>
                <w:sz w:val="18"/>
                <w:szCs w:val="18"/>
                <w:color w:val="auto"/>
                <w:w w:val="97"/>
              </w:rPr>
              <w:t>15 (30.6%)</w:t>
            </w:r>
          </w:p>
        </w:tc>
        <w:tc>
          <w:tcPr>
            <w:tcW w:w="1180" w:type="dxa"/>
            <w:vAlign w:val="bottom"/>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6"/>
              </w:rPr>
              <w:t>4 (8.2%)</w:t>
            </w:r>
          </w:p>
        </w:tc>
        <w:tc>
          <w:tcPr>
            <w:tcW w:w="1200" w:type="dxa"/>
            <w:vAlign w:val="bottom"/>
            <w:shd w:val="clear" w:color="auto" w:fill="CCEEFF"/>
          </w:tcPr>
          <w:p>
            <w:pPr>
              <w:jc w:val="center"/>
              <w:ind w:right="92"/>
              <w:spacing w:after="0" w:line="196" w:lineRule="exact"/>
              <w:rPr>
                <w:sz w:val="20"/>
                <w:szCs w:val="20"/>
                <w:color w:val="auto"/>
              </w:rPr>
            </w:pPr>
            <w:r>
              <w:rPr>
                <w:rFonts w:ascii="Arial" w:cs="Arial" w:eastAsia="Arial" w:hAnsi="Arial"/>
                <w:sz w:val="18"/>
                <w:szCs w:val="18"/>
                <w:color w:val="auto"/>
                <w:w w:val="96"/>
              </w:rPr>
              <w:t>3 (6.1%)</w:t>
            </w:r>
          </w:p>
        </w:tc>
        <w:tc>
          <w:tcPr>
            <w:tcW w:w="1180" w:type="dxa"/>
            <w:vAlign w:val="bottom"/>
            <w:shd w:val="clear" w:color="auto" w:fill="CCEEFF"/>
          </w:tcPr>
          <w:p>
            <w:pPr>
              <w:jc w:val="center"/>
              <w:ind w:right="92"/>
              <w:spacing w:after="0" w:line="196" w:lineRule="exact"/>
              <w:rPr>
                <w:sz w:val="20"/>
                <w:szCs w:val="20"/>
                <w:color w:val="auto"/>
              </w:rPr>
            </w:pPr>
            <w:r>
              <w:rPr>
                <w:rFonts w:ascii="Arial" w:cs="Arial" w:eastAsia="Arial" w:hAnsi="Arial"/>
                <w:sz w:val="18"/>
                <w:szCs w:val="18"/>
                <w:color w:val="auto"/>
                <w:w w:val="97"/>
              </w:rPr>
              <w:t>6 (12.2%)</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2 (4.1%)</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Diarrhea</w:t>
            </w:r>
          </w:p>
        </w:tc>
        <w:tc>
          <w:tcPr>
            <w:tcW w:w="2360" w:type="dxa"/>
            <w:vAlign w:val="bottom"/>
          </w:tcPr>
          <w:p>
            <w:pPr>
              <w:jc w:val="center"/>
              <w:ind w:left="772"/>
              <w:spacing w:after="0" w:line="202" w:lineRule="exact"/>
              <w:rPr>
                <w:sz w:val="20"/>
                <w:szCs w:val="20"/>
                <w:color w:val="auto"/>
              </w:rPr>
            </w:pPr>
            <w:r>
              <w:rPr>
                <w:rFonts w:ascii="Arial" w:cs="Arial" w:eastAsia="Arial" w:hAnsi="Arial"/>
                <w:sz w:val="18"/>
                <w:szCs w:val="18"/>
                <w:color w:val="auto"/>
                <w:w w:val="97"/>
              </w:rPr>
              <w:t>13 (26.5%)</w:t>
            </w:r>
          </w:p>
        </w:tc>
        <w:tc>
          <w:tcPr>
            <w:tcW w:w="11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8 (16.3%)</w:t>
            </w: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6"/>
              </w:rPr>
              <w:t>4 (8.2%)</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6"/>
              </w:rPr>
              <w:t>1 (2.0%)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Anemias (SMQ)**</w:t>
            </w:r>
          </w:p>
        </w:tc>
        <w:tc>
          <w:tcPr>
            <w:tcW w:w="2360" w:type="dxa"/>
            <w:vAlign w:val="bottom"/>
            <w:shd w:val="clear" w:color="auto" w:fill="CCEEFF"/>
          </w:tcPr>
          <w:p>
            <w:pPr>
              <w:jc w:val="center"/>
              <w:ind w:left="772"/>
              <w:spacing w:after="0" w:line="202" w:lineRule="exact"/>
              <w:rPr>
                <w:sz w:val="20"/>
                <w:szCs w:val="20"/>
                <w:color w:val="auto"/>
              </w:rPr>
            </w:pPr>
            <w:r>
              <w:rPr>
                <w:rFonts w:ascii="Arial" w:cs="Arial" w:eastAsia="Arial" w:hAnsi="Arial"/>
                <w:sz w:val="18"/>
                <w:szCs w:val="18"/>
                <w:color w:val="auto"/>
                <w:w w:val="97"/>
              </w:rPr>
              <w:t>12 (24.5%)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6"/>
              </w:rPr>
              <w:t>1 (2.0%)</w:t>
            </w:r>
          </w:p>
        </w:tc>
        <w:tc>
          <w:tcPr>
            <w:tcW w:w="120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5 (10.2%)</w:t>
            </w:r>
          </w:p>
        </w:tc>
        <w:tc>
          <w:tcPr>
            <w:tcW w:w="118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7"/>
              </w:rPr>
              <w:t>6 (12.2%)</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Aspartate aminotransferase increased</w:t>
            </w:r>
          </w:p>
        </w:tc>
        <w:tc>
          <w:tcPr>
            <w:tcW w:w="236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97"/>
              </w:rPr>
              <w:t>9 (18.4%)</w:t>
            </w:r>
          </w:p>
        </w:tc>
        <w:tc>
          <w:tcPr>
            <w:tcW w:w="11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5 (10.2%)</w:t>
            </w: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6"/>
              </w:rPr>
              <w:t>2 (4.1%)</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6"/>
              </w:rPr>
              <w:t>1 (2.0%)</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RevMed Edemas (CMQ)***</w:t>
            </w:r>
          </w:p>
        </w:tc>
        <w:tc>
          <w:tcPr>
            <w:tcW w:w="2360" w:type="dxa"/>
            <w:vAlign w:val="bottom"/>
            <w:shd w:val="clear" w:color="auto" w:fill="CCEEFF"/>
          </w:tcPr>
          <w:p>
            <w:pPr>
              <w:jc w:val="center"/>
              <w:ind w:left="792"/>
              <w:spacing w:after="0" w:line="202" w:lineRule="exact"/>
              <w:rPr>
                <w:sz w:val="20"/>
                <w:szCs w:val="20"/>
                <w:color w:val="auto"/>
              </w:rPr>
            </w:pPr>
            <w:r>
              <w:rPr>
                <w:rFonts w:ascii="Arial" w:cs="Arial" w:eastAsia="Arial" w:hAnsi="Arial"/>
                <w:sz w:val="18"/>
                <w:szCs w:val="18"/>
                <w:color w:val="auto"/>
                <w:w w:val="97"/>
              </w:rPr>
              <w:t>9 (18.4%)</w:t>
            </w:r>
          </w:p>
        </w:tc>
        <w:tc>
          <w:tcPr>
            <w:tcW w:w="118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7"/>
              </w:rPr>
              <w:t>6 (12.2%)</w:t>
            </w:r>
          </w:p>
        </w:tc>
        <w:tc>
          <w:tcPr>
            <w:tcW w:w="120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6"/>
              </w:rPr>
              <w:t>1 (2.0%)</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6"/>
              </w:rPr>
              <w:t>2 (4.1%)</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Fatigue</w:t>
            </w:r>
          </w:p>
        </w:tc>
        <w:tc>
          <w:tcPr>
            <w:tcW w:w="236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97"/>
              </w:rPr>
              <w:t>8 (16.3%)</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6"/>
              </w:rPr>
              <w:t>3 (6.1%)</w:t>
            </w:r>
          </w:p>
        </w:tc>
        <w:tc>
          <w:tcPr>
            <w:tcW w:w="120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5 (10.2%)</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2360" w:type="dxa"/>
            <w:vAlign w:val="bottom"/>
            <w:shd w:val="clear" w:color="auto" w:fill="CCEEFF"/>
          </w:tcPr>
          <w:p>
            <w:pPr>
              <w:jc w:val="center"/>
              <w:ind w:left="792"/>
              <w:spacing w:after="0" w:line="202" w:lineRule="exact"/>
              <w:rPr>
                <w:sz w:val="20"/>
                <w:szCs w:val="20"/>
                <w:color w:val="auto"/>
              </w:rPr>
            </w:pPr>
            <w:r>
              <w:rPr>
                <w:rFonts w:ascii="Arial" w:cs="Arial" w:eastAsia="Arial" w:hAnsi="Arial"/>
                <w:sz w:val="18"/>
                <w:szCs w:val="18"/>
                <w:color w:val="auto"/>
                <w:w w:val="97"/>
              </w:rPr>
              <w:t>7 (14.3%)</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6"/>
              </w:rPr>
              <w:t>3 (6.1%)</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6"/>
              </w:rPr>
              <w:t>4 (8.2%)</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Dry mouth</w:t>
            </w:r>
          </w:p>
        </w:tc>
        <w:tc>
          <w:tcPr>
            <w:tcW w:w="2360" w:type="dxa"/>
            <w:vAlign w:val="bottom"/>
          </w:tcPr>
          <w:p>
            <w:pPr>
              <w:jc w:val="center"/>
              <w:ind w:left="792"/>
              <w:spacing w:after="0" w:line="202" w:lineRule="exact"/>
              <w:rPr>
                <w:sz w:val="20"/>
                <w:szCs w:val="20"/>
                <w:color w:val="auto"/>
              </w:rPr>
            </w:pPr>
            <w:r>
              <w:rPr>
                <w:rFonts w:ascii="Arial" w:cs="Arial" w:eastAsia="Arial" w:hAnsi="Arial"/>
                <w:sz w:val="18"/>
                <w:szCs w:val="18"/>
                <w:color w:val="auto"/>
                <w:w w:val="97"/>
              </w:rPr>
              <w:t>6 (12.2%)</w:t>
            </w:r>
          </w:p>
        </w:tc>
        <w:tc>
          <w:tcPr>
            <w:tcW w:w="118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7"/>
              </w:rPr>
              <w:t>6 (12.2%)</w:t>
            </w:r>
          </w:p>
        </w:tc>
        <w:tc>
          <w:tcPr>
            <w:tcW w:w="1200" w:type="dxa"/>
            <w:vAlign w:val="bottom"/>
          </w:tcPr>
          <w:p>
            <w:pPr>
              <w:jc w:val="center"/>
              <w:ind w:right="9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Nausea</w:t>
            </w:r>
          </w:p>
        </w:tc>
        <w:tc>
          <w:tcPr>
            <w:tcW w:w="2360" w:type="dxa"/>
            <w:vAlign w:val="bottom"/>
            <w:shd w:val="clear" w:color="auto" w:fill="CCEEFF"/>
          </w:tcPr>
          <w:p>
            <w:pPr>
              <w:jc w:val="center"/>
              <w:ind w:left="792"/>
              <w:spacing w:after="0" w:line="202" w:lineRule="exact"/>
              <w:rPr>
                <w:sz w:val="20"/>
                <w:szCs w:val="20"/>
                <w:color w:val="auto"/>
              </w:rPr>
            </w:pPr>
            <w:r>
              <w:rPr>
                <w:rFonts w:ascii="Arial" w:cs="Arial" w:eastAsia="Arial" w:hAnsi="Arial"/>
                <w:sz w:val="18"/>
                <w:szCs w:val="18"/>
                <w:color w:val="auto"/>
                <w:w w:val="97"/>
              </w:rPr>
              <w:t>6 (12.2%)</w:t>
            </w:r>
          </w:p>
        </w:tc>
        <w:tc>
          <w:tcPr>
            <w:tcW w:w="118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7"/>
              </w:rPr>
              <w:t>6 (12.2%)</w:t>
            </w:r>
          </w:p>
        </w:tc>
        <w:tc>
          <w:tcPr>
            <w:tcW w:w="1200" w:type="dxa"/>
            <w:vAlign w:val="bottom"/>
            <w:shd w:val="clear" w:color="auto" w:fill="CCEEFF"/>
          </w:tcPr>
          <w:p>
            <w:pPr>
              <w:jc w:val="center"/>
              <w:ind w:right="9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5"/>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Alanine aminotransferase increased</w:t>
            </w:r>
          </w:p>
        </w:tc>
        <w:tc>
          <w:tcPr>
            <w:tcW w:w="2360" w:type="dxa"/>
            <w:vAlign w:val="bottom"/>
            <w:tcBorders>
              <w:bottom w:val="single" w:sz="8" w:color="auto"/>
            </w:tcBorders>
          </w:tcPr>
          <w:p>
            <w:pPr>
              <w:jc w:val="center"/>
              <w:ind w:left="792"/>
              <w:spacing w:after="0"/>
              <w:rPr>
                <w:sz w:val="20"/>
                <w:szCs w:val="20"/>
                <w:color w:val="auto"/>
              </w:rPr>
            </w:pPr>
            <w:r>
              <w:rPr>
                <w:rFonts w:ascii="Arial" w:cs="Arial" w:eastAsia="Arial" w:hAnsi="Arial"/>
                <w:sz w:val="18"/>
                <w:szCs w:val="18"/>
                <w:color w:val="auto"/>
                <w:w w:val="97"/>
              </w:rPr>
              <w:t>5 (10.2%)</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6"/>
              </w:rPr>
              <w:t>3 (6.1%)</w:t>
            </w: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6"/>
              </w:rPr>
              <w:t>2 (4.1%)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 Abbreviations: SMQ, Standardized MedDRA Query; CMQ, Customized MedDRA Query.</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720" w:hanging="4"/>
        <w:spacing w:after="0" w:line="346" w:lineRule="auto"/>
        <w:tabs>
          <w:tab w:leader="none" w:pos="444"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platelet count decrease. ** Includes hemoglobin decrease.</w:t>
      </w:r>
    </w:p>
    <w:p>
      <w:pPr>
        <w:ind w:left="120"/>
        <w:spacing w:after="0"/>
        <w:rPr>
          <w:rFonts w:ascii="Arial" w:cs="Arial" w:eastAsia="Arial" w:hAnsi="Arial"/>
          <w:sz w:val="13"/>
          <w:szCs w:val="13"/>
          <w:color w:val="auto"/>
        </w:rPr>
      </w:pPr>
      <w:r>
        <w:rPr>
          <w:rFonts w:ascii="Arial" w:cs="Arial" w:eastAsia="Arial" w:hAnsi="Arial"/>
          <w:sz w:val="13"/>
          <w:szCs w:val="13"/>
          <w:color w:val="auto"/>
        </w:rPr>
        <w:t>***   Consists of eyelid edema, face edema, generalized edema, lip edema, edema, edema peripheral, periorbital edema and peripheral swelling.</w:t>
      </w:r>
    </w:p>
    <w:p>
      <w:pPr>
        <w:spacing w:after="0" w:line="11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Eight patients treated with the daily schedule have experienced toxicities involving the lungs or respiratory system that were attributed in part to RMC-4630 by the treating investigator. These were generally moderate or mild. One additional case of grade 4 respiratory failure is discussed in more detail below in the description of SAEs. No data has been reported suggesting that systemic activation of the immune system is associated with toxicity in subjects treated with RMC-4630 monotherapy. There have been no reports of pneumonitis. Related adverse events involving other important organs such as the heart, brain and kidneys have been uncommon and generally mild to moderate in severity.</w:t>
      </w:r>
    </w:p>
    <w:p>
      <w:pPr>
        <w:spacing w:after="0" w:line="102" w:lineRule="exact"/>
        <w:rPr>
          <w:sz w:val="20"/>
          <w:szCs w:val="20"/>
          <w:color w:val="auto"/>
        </w:rPr>
      </w:pPr>
    </w:p>
    <w:p>
      <w:pPr>
        <w:ind w:left="120" w:right="80"/>
        <w:spacing w:after="0" w:line="268" w:lineRule="auto"/>
        <w:rPr>
          <w:sz w:val="20"/>
          <w:szCs w:val="20"/>
          <w:color w:val="auto"/>
        </w:rPr>
      </w:pPr>
      <w:r>
        <w:rPr>
          <w:rFonts w:ascii="Arial" w:cs="Arial" w:eastAsia="Arial" w:hAnsi="Arial"/>
          <w:sz w:val="16"/>
          <w:szCs w:val="16"/>
          <w:color w:val="auto"/>
        </w:rPr>
        <w:t>Three patients (6%) had SAEs thought to be possibly or probably related to the study drug as assessed by the trial sponsor. One Grade 2 event of dehydration was reported in the 60 mg daily cohort. One Grade 4 event of thrombocytopenia and one Grade 3 event of generalized edema were reported in the 80 mg daily cohort. Two additional SAEs, both in the 60 mg daily cohort, were reported in which the investigator was unable to rule out an association with the study drug, but where the evidence for causality by RMC-4630 was absent or considered unlikely by the study sponsor. One patient with extensive metastases of tumor in the lungs developed Grade 4 respiratory failure and was hospitalized and treated with oxygen. The SAE was ongoing when the patient was withdrawn from the study. The SAE was ongoing when the patient died due to progression of underlying cancer. A second patient developed a single reading of Grade 3 prolongation of QTc. This patient had been receiving 60 mg daily of RMC-4630 but had not received any dose for three days at the time of the reading. The patient had a previous history of prolonged QTc, underlying systemic lupus, and was taking ondansetron. QTc was prolonged (grade 1) at baseline. Five hours after the prolonged QTc reading, the patient had two follow-up ECGs that showed normal QTc interval.</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7</w:t>
      </w:r>
      <w:r>
        <w:rPr>
          <w:rFonts w:ascii="Arial" w:cs="Arial" w:eastAsia="Arial" w:hAnsi="Arial"/>
          <w:sz w:val="18"/>
          <w:szCs w:val="18"/>
          <w:color w:val="auto"/>
        </w:rPr>
        <w:t>: Early data suggest intermittent schedule may be better tolerated than 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Related AEs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Related AEs</w:t>
            </w:r>
          </w:p>
        </w:tc>
      </w:tr>
      <w:tr>
        <w:trPr>
          <w:trHeight w:val="221"/>
        </w:trPr>
        <w:tc>
          <w:tcPr>
            <w:tcW w:w="6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Daily (N=49)</w:t>
            </w:r>
          </w:p>
        </w:tc>
        <w:tc>
          <w:tcPr>
            <w:tcW w:w="420" w:type="dxa"/>
            <w:vAlign w:val="bottom"/>
          </w:tcPr>
          <w:p>
            <w:pPr>
              <w:spacing w:after="0"/>
              <w:rPr>
                <w:sz w:val="19"/>
                <w:szCs w:val="19"/>
                <w:color w:val="auto"/>
              </w:rPr>
            </w:pPr>
          </w:p>
        </w:tc>
        <w:tc>
          <w:tcPr>
            <w:tcW w:w="20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Intermittent (N=38)</w:t>
            </w:r>
          </w:p>
        </w:tc>
      </w:tr>
      <w:tr>
        <w:trPr>
          <w:trHeight w:val="177"/>
        </w:trPr>
        <w:tc>
          <w:tcPr>
            <w:tcW w:w="6040" w:type="dxa"/>
            <w:vAlign w:val="bottom"/>
          </w:tcPr>
          <w:p>
            <w:pPr>
              <w:spacing w:after="0"/>
              <w:rPr>
                <w:sz w:val="15"/>
                <w:szCs w:val="15"/>
                <w:color w:val="auto"/>
              </w:rPr>
            </w:pPr>
          </w:p>
        </w:tc>
        <w:tc>
          <w:tcPr>
            <w:tcW w:w="1320" w:type="dxa"/>
            <w:vAlign w:val="bottom"/>
            <w:tcBorders>
              <w:top w:val="single" w:sz="8" w:color="auto"/>
            </w:tcBorders>
          </w:tcPr>
          <w:p>
            <w:pPr>
              <w:jc w:val="right"/>
              <w:ind w:right="12"/>
              <w:spacing w:after="0" w:line="177" w:lineRule="exact"/>
              <w:rPr>
                <w:sz w:val="20"/>
                <w:szCs w:val="20"/>
                <w:color w:val="auto"/>
              </w:rPr>
            </w:pPr>
            <w:r>
              <w:rPr>
                <w:rFonts w:ascii="Arial" w:cs="Arial" w:eastAsia="Arial" w:hAnsi="Arial"/>
                <w:sz w:val="18"/>
                <w:szCs w:val="18"/>
                <w:b w:val="1"/>
                <w:bCs w:val="1"/>
                <w:color w:val="auto"/>
              </w:rPr>
              <w:t>Any</w:t>
            </w:r>
          </w:p>
        </w:tc>
        <w:tc>
          <w:tcPr>
            <w:tcW w:w="11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2"/>
              <w:spacing w:after="0" w:line="177" w:lineRule="exact"/>
              <w:rPr>
                <w:sz w:val="20"/>
                <w:szCs w:val="20"/>
                <w:color w:val="auto"/>
              </w:rPr>
            </w:pPr>
            <w:r>
              <w:rPr>
                <w:rFonts w:ascii="Arial" w:cs="Arial" w:eastAsia="Arial" w:hAnsi="Arial"/>
                <w:sz w:val="18"/>
                <w:szCs w:val="18"/>
                <w:b w:val="1"/>
                <w:bCs w:val="1"/>
                <w:color w:val="auto"/>
              </w:rPr>
              <w:t>Any</w:t>
            </w:r>
          </w:p>
        </w:tc>
        <w:tc>
          <w:tcPr>
            <w:tcW w:w="1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c>
          <w:tcPr>
            <w:tcW w:w="20" w:type="dxa"/>
            <w:vAlign w:val="bottom"/>
          </w:tcPr>
          <w:p>
            <w:pPr>
              <w:spacing w:after="0"/>
              <w:rPr>
                <w:sz w:val="15"/>
                <w:szCs w:val="15"/>
                <w:color w:val="auto"/>
              </w:rPr>
            </w:pPr>
          </w:p>
        </w:tc>
      </w:tr>
      <w:tr>
        <w:trPr>
          <w:trHeight w:val="247"/>
        </w:trPr>
        <w:tc>
          <w:tcPr>
            <w:tcW w:w="6040" w:type="dxa"/>
            <w:vAlign w:val="bottom"/>
          </w:tcPr>
          <w:p>
            <w:pPr>
              <w:spacing w:after="0"/>
              <w:rPr>
                <w:sz w:val="20"/>
                <w:szCs w:val="20"/>
                <w:color w:val="auto"/>
              </w:rPr>
            </w:pPr>
            <w:r>
              <w:rPr>
                <w:rFonts w:ascii="Arial" w:cs="Arial" w:eastAsia="Arial" w:hAnsi="Arial"/>
                <w:sz w:val="18"/>
                <w:szCs w:val="18"/>
                <w:b w:val="1"/>
                <w:bCs w:val="1"/>
                <w:color w:val="auto"/>
              </w:rPr>
              <w:t>Related adverse events occurring in ³10% of patients</w:t>
            </w: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³ 3</w:t>
            </w:r>
          </w:p>
        </w:tc>
        <w:tc>
          <w:tcPr>
            <w:tcW w:w="4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³ 3</w:t>
            </w:r>
          </w:p>
        </w:tc>
      </w:tr>
      <w:tr>
        <w:trPr>
          <w:trHeight w:val="197"/>
        </w:trPr>
        <w:tc>
          <w:tcPr>
            <w:tcW w:w="60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8"/>
                <w:szCs w:val="18"/>
                <w:color w:val="auto"/>
              </w:rPr>
              <w:t>Thrombocytopenias (SMQ)*</w:t>
            </w:r>
          </w:p>
        </w:tc>
        <w:tc>
          <w:tcPr>
            <w:tcW w:w="1320" w:type="dxa"/>
            <w:vAlign w:val="bottom"/>
            <w:tcBorders>
              <w:top w:val="single" w:sz="8" w:color="auto"/>
            </w:tcBorders>
            <w:shd w:val="clear" w:color="auto" w:fill="CCEEFF"/>
          </w:tcPr>
          <w:p>
            <w:pPr>
              <w:jc w:val="center"/>
              <w:ind w:right="12"/>
              <w:spacing w:after="0" w:line="197" w:lineRule="exact"/>
              <w:rPr>
                <w:sz w:val="20"/>
                <w:szCs w:val="20"/>
                <w:color w:val="auto"/>
              </w:rPr>
            </w:pPr>
            <w:r>
              <w:rPr>
                <w:rFonts w:ascii="Arial" w:cs="Arial" w:eastAsia="Arial" w:hAnsi="Arial"/>
                <w:sz w:val="18"/>
                <w:szCs w:val="18"/>
                <w:color w:val="auto"/>
                <w:w w:val="97"/>
              </w:rPr>
              <w:t>15 (30.6%)</w:t>
            </w:r>
          </w:p>
        </w:tc>
        <w:tc>
          <w:tcPr>
            <w:tcW w:w="110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7"/>
              </w:rPr>
              <w:t>8 (16.3%)</w:t>
            </w: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7" w:lineRule="exact"/>
              <w:rPr>
                <w:sz w:val="20"/>
                <w:szCs w:val="20"/>
                <w:color w:val="auto"/>
              </w:rPr>
            </w:pPr>
            <w:r>
              <w:rPr>
                <w:rFonts w:ascii="Arial" w:cs="Arial" w:eastAsia="Arial" w:hAnsi="Arial"/>
                <w:sz w:val="18"/>
                <w:szCs w:val="18"/>
                <w:color w:val="auto"/>
              </w:rPr>
              <w:t>10</w:t>
            </w:r>
          </w:p>
        </w:tc>
        <w:tc>
          <w:tcPr>
            <w:tcW w:w="920" w:type="dxa"/>
            <w:vAlign w:val="bottom"/>
            <w:tcBorders>
              <w:top w:val="single" w:sz="8" w:color="auto"/>
            </w:tcBorders>
            <w:shd w:val="clear" w:color="auto" w:fill="CCEEFF"/>
          </w:tcPr>
          <w:p>
            <w:pPr>
              <w:ind w:left="20"/>
              <w:spacing w:after="0" w:line="197" w:lineRule="exact"/>
              <w:rPr>
                <w:sz w:val="20"/>
                <w:szCs w:val="20"/>
                <w:color w:val="auto"/>
              </w:rPr>
            </w:pPr>
            <w:r>
              <w:rPr>
                <w:rFonts w:ascii="Arial" w:cs="Arial" w:eastAsia="Arial" w:hAnsi="Arial"/>
                <w:sz w:val="18"/>
                <w:szCs w:val="18"/>
                <w:color w:val="auto"/>
              </w:rPr>
              <w:t>(26.3%)</w:t>
            </w:r>
          </w:p>
        </w:tc>
        <w:tc>
          <w:tcPr>
            <w:tcW w:w="1120" w:type="dxa"/>
            <w:vAlign w:val="bottom"/>
            <w:tcBorders>
              <w:top w:val="single" w:sz="8" w:color="auto"/>
            </w:tcBorders>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2 (5.3%)</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Diarrhea</w:t>
            </w:r>
          </w:p>
        </w:tc>
        <w:tc>
          <w:tcPr>
            <w:tcW w:w="13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13 (26.5%)</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(39.5%)</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2 (5.3%)</w:t>
            </w:r>
          </w:p>
        </w:tc>
        <w:tc>
          <w:tcPr>
            <w:tcW w:w="2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Anemias (SMQ)**</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12 (24.5%)</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(26.3%)</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 (10.5%)</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Aspartate aminotransferase increased</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9 (18.4%)</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7"/>
              </w:rPr>
              <w:t>7 (14.3%)</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(7.9%)</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RevMed Edemas (CMQ)***</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9 (18.4%)</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 (21.1%)</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Fatigue</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8 (16.3%)</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(26.3%)</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 (2.6%)</w:t>
            </w:r>
          </w:p>
        </w:tc>
        <w:tc>
          <w:tcPr>
            <w:tcW w:w="2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 (14.3%)</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4 (8.2%)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(2.6%)</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Dry mouth</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(5.3%)</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7"/>
                <w:szCs w:val="17"/>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Nausea</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7 (18.4%)</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 (5.3%)</w:t>
            </w:r>
          </w:p>
        </w:tc>
        <w:tc>
          <w:tcPr>
            <w:tcW w:w="20" w:type="dxa"/>
            <w:vAlign w:val="bottom"/>
          </w:tcPr>
          <w:p>
            <w:pPr>
              <w:spacing w:after="0"/>
              <w:rPr>
                <w:sz w:val="17"/>
                <w:szCs w:val="17"/>
                <w:color w:val="auto"/>
              </w:rPr>
            </w:pP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Alanine aminotransferase increased</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5 (10.2%)</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20" w:type="dxa"/>
            <w:vAlign w:val="bottom"/>
          </w:tcPr>
          <w:p>
            <w:pPr>
              <w:ind w:left="20"/>
              <w:spacing w:after="0" w:line="202" w:lineRule="exact"/>
              <w:rPr>
                <w:sz w:val="20"/>
                <w:szCs w:val="20"/>
                <w:color w:val="auto"/>
              </w:rPr>
            </w:pPr>
            <w:r>
              <w:rPr>
                <w:rFonts w:ascii="Arial" w:cs="Arial" w:eastAsia="Arial" w:hAnsi="Arial"/>
                <w:sz w:val="18"/>
                <w:szCs w:val="18"/>
                <w:color w:val="auto"/>
              </w:rPr>
              <w:t>(7.9%)</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7"/>
                <w:szCs w:val="17"/>
                <w:color w:val="auto"/>
              </w:rPr>
            </w:pPr>
          </w:p>
        </w:tc>
      </w:tr>
      <w:tr>
        <w:trPr>
          <w:trHeight w:val="202"/>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Vomiting</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6 (15.8%)</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 (5.3%)</w:t>
            </w:r>
          </w:p>
        </w:tc>
        <w:tc>
          <w:tcPr>
            <w:tcW w:w="20" w:type="dxa"/>
            <w:vAlign w:val="bottom"/>
          </w:tcPr>
          <w:p>
            <w:pPr>
              <w:spacing w:after="0"/>
              <w:rPr>
                <w:sz w:val="17"/>
                <w:szCs w:val="17"/>
                <w:color w:val="auto"/>
              </w:rPr>
            </w:pP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 Abbreviations: SMQ, Standardized MedDRA Query; CMQ, Customized MedDRA Query</w:t>
      </w:r>
    </w:p>
    <w:p>
      <w:pPr>
        <w:spacing w:after="0" w:line="81" w:lineRule="exact"/>
        <w:rPr>
          <w:sz w:val="20"/>
          <w:szCs w:val="20"/>
          <w:color w:val="auto"/>
        </w:rPr>
      </w:pPr>
    </w:p>
    <w:p>
      <w:pPr>
        <w:ind w:left="120" w:right="8720" w:hanging="4"/>
        <w:spacing w:after="0" w:line="346" w:lineRule="auto"/>
        <w:tabs>
          <w:tab w:leader="none" w:pos="444"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platelet count decrease. ** Includes hemoglobin decrease.</w:t>
      </w:r>
    </w:p>
    <w:p>
      <w:pPr>
        <w:ind w:left="120"/>
        <w:spacing w:after="0"/>
        <w:rPr>
          <w:rFonts w:ascii="Arial" w:cs="Arial" w:eastAsia="Arial" w:hAnsi="Arial"/>
          <w:sz w:val="13"/>
          <w:szCs w:val="13"/>
          <w:color w:val="auto"/>
        </w:rPr>
      </w:pPr>
      <w:r>
        <w:rPr>
          <w:rFonts w:ascii="Arial" w:cs="Arial" w:eastAsia="Arial" w:hAnsi="Arial"/>
          <w:sz w:val="13"/>
          <w:szCs w:val="13"/>
          <w:color w:val="auto"/>
        </w:rPr>
        <w:t>***   Consists of eyelid edema, face edema, generalized edema, lip edema, edema, edema peripheral periorbital edema, and peripheral swelling.</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Pharmacokinetics—daily dosing schedule</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 xml:space="preserve">With daily dosing, plasma concentrations of RMC-4630 reached a steady state by day 22 (Table 8 and Figure 10). Plasma concentrations of RMC-4630 in the blood at all daily dose levels were consistently higher than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EC</w:t>
      </w:r>
      <w:r>
        <w:rPr>
          <w:rFonts w:ascii="Arial" w:cs="Arial" w:eastAsia="Arial" w:hAnsi="Arial"/>
          <w:sz w:val="21"/>
          <w:szCs w:val="21"/>
          <w:color w:val="auto"/>
          <w:vertAlign w:val="subscript"/>
        </w:rPr>
        <w:t>50</w:t>
      </w:r>
      <w:r>
        <w:rPr>
          <w:rFonts w:ascii="Arial" w:cs="Arial" w:eastAsia="Arial" w:hAnsi="Arial"/>
          <w:sz w:val="17"/>
          <w:szCs w:val="17"/>
          <w:color w:val="auto"/>
        </w:rPr>
        <w:t xml:space="preserve"> for pERK in tumor models. Exposure increased approximately proportionally with increasing dose. The total exposure to RMC-4630 over a 24-hour period at 60 mg daily was 14.6 uM.hr. This is more than twice the exposure that has been required to see anti-tumor effects, particularly tumor stasis, in animal models (6.44 uM.hr).</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Table 8: </w:t>
      </w:r>
      <w:r>
        <w:rPr>
          <w:rFonts w:ascii="Arial" w:cs="Arial" w:eastAsia="Arial" w:hAnsi="Arial"/>
          <w:sz w:val="18"/>
          <w:szCs w:val="18"/>
          <w:color w:val="auto"/>
        </w:rPr>
        <w:t>Pharmacokinetics—daily schedule in RMC-4630-01 study.</w:t>
      </w:r>
    </w:p>
    <w:p>
      <w:pPr>
        <w:spacing w:after="0" w:line="116"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PK parameters [Mean(CV%)]</w:t>
            </w:r>
          </w:p>
        </w:tc>
        <w:tc>
          <w:tcPr>
            <w:tcW w:w="6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342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b w:val="1"/>
                <w:bCs w:val="1"/>
                <w:color w:val="auto"/>
              </w:rPr>
              <w:t>N(Cmax/</w:t>
            </w: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Median</w:t>
            </w:r>
          </w:p>
        </w:tc>
        <w:tc>
          <w:tcPr>
            <w:tcW w:w="6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Mean</w:t>
            </w: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Median</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restart"/>
          </w:tcPr>
          <w:p>
            <w:pPr>
              <w:jc w:val="center"/>
              <w:ind w:left="33"/>
              <w:spacing w:after="0"/>
              <w:rPr>
                <w:sz w:val="20"/>
                <w:szCs w:val="20"/>
                <w:color w:val="auto"/>
              </w:rPr>
            </w:pPr>
            <w:r>
              <w:rPr>
                <w:rFonts w:ascii="Arial" w:cs="Arial" w:eastAsia="Arial" w:hAnsi="Arial"/>
                <w:sz w:val="13"/>
                <w:szCs w:val="13"/>
                <w:b w:val="1"/>
                <w:bCs w:val="1"/>
                <w:color w:val="auto"/>
                <w:w w:val="99"/>
              </w:rPr>
              <w:t>Study</w:t>
            </w:r>
          </w:p>
        </w:tc>
        <w:tc>
          <w:tcPr>
            <w:tcW w:w="72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b w:val="1"/>
                <w:bCs w:val="1"/>
                <w:color w:val="auto"/>
              </w:rPr>
              <w:t>Schedule</w:t>
            </w:r>
          </w:p>
        </w:tc>
        <w:tc>
          <w:tcPr>
            <w:tcW w:w="70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b w:val="1"/>
                <w:bCs w:val="1"/>
                <w:color w:val="auto"/>
              </w:rPr>
              <w:t>Dose</w:t>
            </w:r>
          </w:p>
        </w:tc>
        <w:tc>
          <w:tcPr>
            <w:tcW w:w="48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b w:val="1"/>
                <w:bCs w:val="1"/>
                <w:color w:val="auto"/>
              </w:rPr>
              <w:t>Cycle</w:t>
            </w:r>
          </w:p>
        </w:tc>
        <w:tc>
          <w:tcPr>
            <w:tcW w:w="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3"/>
                <w:szCs w:val="13"/>
                <w:b w:val="1"/>
                <w:bCs w:val="1"/>
                <w:color w:val="auto"/>
                <w:w w:val="92"/>
              </w:rPr>
              <w:t>Day</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ind w:left="14"/>
              <w:spacing w:after="0" w:line="205" w:lineRule="exact"/>
              <w:rPr>
                <w:sz w:val="20"/>
                <w:szCs w:val="20"/>
                <w:color w:val="auto"/>
              </w:rPr>
            </w:pPr>
            <w:r>
              <w:rPr>
                <w:rFonts w:ascii="Arial" w:cs="Arial" w:eastAsia="Arial" w:hAnsi="Arial"/>
                <w:sz w:val="23"/>
                <w:szCs w:val="23"/>
                <w:b w:val="1"/>
                <w:bCs w:val="1"/>
                <w:color w:val="auto"/>
                <w:vertAlign w:val="superscript"/>
              </w:rPr>
              <w:t>C</w:t>
            </w:r>
            <w:r>
              <w:rPr>
                <w:rFonts w:ascii="Arial" w:cs="Arial" w:eastAsia="Arial" w:hAnsi="Arial"/>
                <w:sz w:val="10"/>
                <w:szCs w:val="10"/>
                <w:b w:val="1"/>
                <w:bCs w:val="1"/>
                <w:color w:val="auto"/>
              </w:rPr>
              <w:t>max</w:t>
            </w:r>
          </w:p>
        </w:tc>
        <w:tc>
          <w:tcPr>
            <w:tcW w:w="72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max</w:t>
            </w:r>
          </w:p>
        </w:tc>
        <w:tc>
          <w:tcPr>
            <w:tcW w:w="660" w:type="dxa"/>
            <w:vAlign w:val="bottom"/>
            <w:tcBorders>
              <w:right w:val="single" w:sz="8" w:color="auto"/>
            </w:tcBorders>
            <w:vMerge w:val="restart"/>
          </w:tcPr>
          <w:p>
            <w:pPr>
              <w:jc w:val="center"/>
              <w:ind w:left="14"/>
              <w:spacing w:after="0" w:line="205" w:lineRule="exact"/>
              <w:rPr>
                <w:sz w:val="20"/>
                <w:szCs w:val="20"/>
                <w:color w:val="auto"/>
              </w:rPr>
            </w:pPr>
            <w:r>
              <w:rPr>
                <w:rFonts w:ascii="Arial" w:cs="Arial" w:eastAsia="Arial" w:hAnsi="Arial"/>
                <w:sz w:val="23"/>
                <w:szCs w:val="23"/>
                <w:b w:val="1"/>
                <w:bCs w:val="1"/>
                <w:color w:val="auto"/>
                <w:w w:val="96"/>
                <w:vertAlign w:val="superscript"/>
              </w:rPr>
              <w:t>AUC</w:t>
            </w:r>
            <w:r>
              <w:rPr>
                <w:rFonts w:ascii="Arial" w:cs="Arial" w:eastAsia="Arial" w:hAnsi="Arial"/>
                <w:sz w:val="10"/>
                <w:szCs w:val="10"/>
                <w:b w:val="1"/>
                <w:bCs w:val="1"/>
                <w:color w:val="auto"/>
                <w:w w:val="96"/>
              </w:rPr>
              <w:t xml:space="preserve"> 0-24</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w w:val="96"/>
                <w:vertAlign w:val="superscript"/>
              </w:rPr>
              <w:t>AUC</w:t>
            </w:r>
            <w:r>
              <w:rPr>
                <w:rFonts w:ascii="Arial" w:cs="Arial" w:eastAsia="Arial" w:hAnsi="Arial"/>
                <w:sz w:val="10"/>
                <w:szCs w:val="10"/>
                <w:b w:val="1"/>
                <w:bCs w:val="1"/>
                <w:color w:val="auto"/>
                <w:w w:val="96"/>
              </w:rPr>
              <w:t xml:space="preserve"> 0-72</w:t>
            </w:r>
          </w:p>
        </w:tc>
        <w:tc>
          <w:tcPr>
            <w:tcW w:w="74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 xml:space="preserve"> 1/2</w:t>
            </w:r>
          </w:p>
        </w:tc>
        <w:tc>
          <w:tcPr>
            <w:tcW w:w="0" w:type="dxa"/>
            <w:vAlign w:val="bottom"/>
          </w:tcPr>
          <w:p>
            <w:pPr>
              <w:spacing w:after="0"/>
              <w:rPr>
                <w:sz w:val="1"/>
                <w:szCs w:val="1"/>
                <w:color w:val="auto"/>
              </w:rPr>
            </w:pPr>
          </w:p>
        </w:tc>
      </w:tr>
      <w:tr>
        <w:trPr>
          <w:trHeight w:val="138"/>
        </w:trPr>
        <w:tc>
          <w:tcPr>
            <w:tcW w:w="342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rPr>
              <w:t>AUC)</w:t>
            </w:r>
          </w:p>
        </w:tc>
        <w:tc>
          <w:tcPr>
            <w:tcW w:w="8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left="13"/>
              <w:spacing w:after="0" w:line="138" w:lineRule="exact"/>
              <w:rPr>
                <w:sz w:val="20"/>
                <w:szCs w:val="20"/>
                <w:color w:val="auto"/>
              </w:rPr>
            </w:pPr>
            <w:r>
              <w:rPr>
                <w:rFonts w:ascii="Arial" w:cs="Arial" w:eastAsia="Arial" w:hAnsi="Arial"/>
                <w:sz w:val="13"/>
                <w:szCs w:val="13"/>
                <w:b w:val="1"/>
                <w:bCs w:val="1"/>
                <w:color w:val="auto"/>
              </w:rPr>
              <w:t>accumulation</w:t>
            </w:r>
          </w:p>
        </w:tc>
        <w:tc>
          <w:tcPr>
            <w:tcW w:w="6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660" w:type="dxa"/>
            <w:vAlign w:val="bottom"/>
            <w:tcBorders>
              <w:bottom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b w:val="1"/>
                <w:bCs w:val="1"/>
                <w:color w:val="auto"/>
              </w:rPr>
              <w:t>(AUC Ratio)</w:t>
            </w:r>
          </w:p>
        </w:tc>
        <w:tc>
          <w:tcPr>
            <w:tcW w:w="6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0" w:type="dxa"/>
            <w:vAlign w:val="bottom"/>
          </w:tcPr>
          <w:p>
            <w:pPr>
              <w:spacing w:after="0"/>
              <w:rPr>
                <w:sz w:val="1"/>
                <w:szCs w:val="1"/>
                <w:color w:val="auto"/>
              </w:rPr>
            </w:pPr>
          </w:p>
        </w:tc>
      </w:tr>
      <w:tr>
        <w:trPr>
          <w:trHeight w:val="60"/>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b w:val="1"/>
                <w:bCs w:val="1"/>
                <w:color w:val="auto"/>
                <w:w w:val="97"/>
              </w:rPr>
              <w:t>µM</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b w:val="1"/>
                <w:bCs w:val="1"/>
                <w:color w:val="auto"/>
              </w:rPr>
              <w:t>h</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b w:val="1"/>
                <w:bCs w:val="1"/>
                <w:color w:val="auto"/>
              </w:rPr>
              <w:t>µM*h</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ind w:left="18"/>
              <w:spacing w:after="0" w:line="142" w:lineRule="exact"/>
              <w:rPr>
                <w:sz w:val="20"/>
                <w:szCs w:val="20"/>
                <w:color w:val="auto"/>
              </w:rPr>
            </w:pPr>
            <w:r>
              <w:rPr>
                <w:rFonts w:ascii="Arial" w:cs="Arial" w:eastAsia="Arial" w:hAnsi="Arial"/>
                <w:sz w:val="13"/>
                <w:szCs w:val="13"/>
                <w:b w:val="1"/>
                <w:bCs w:val="1"/>
                <w:color w:val="auto"/>
              </w:rPr>
              <w:t>µM*h</w:t>
            </w: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82"/>
        </w:trPr>
        <w:tc>
          <w:tcPr>
            <w:tcW w:w="3420" w:type="dxa"/>
            <w:vAlign w:val="bottom"/>
            <w:tcBorders>
              <w:left w:val="single" w:sz="8" w:color="auto"/>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Mouse efficacy</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10 mg/kg</w:t>
            </w:r>
          </w:p>
        </w:tc>
        <w:tc>
          <w:tcPr>
            <w:tcW w:w="4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0.98</w:t>
            </w:r>
          </w:p>
        </w:tc>
        <w:tc>
          <w:tcPr>
            <w:tcW w:w="7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color w:val="auto"/>
              </w:rPr>
              <w:t>6.44</w:t>
            </w:r>
          </w:p>
        </w:tc>
        <w:tc>
          <w:tcPr>
            <w:tcW w:w="10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30 mg/kg</w:t>
            </w:r>
          </w:p>
        </w:tc>
        <w:tc>
          <w:tcPr>
            <w:tcW w:w="480" w:type="dxa"/>
            <w:vAlign w:val="bottom"/>
            <w:tcBorders>
              <w:right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4.81</w:t>
            </w:r>
          </w:p>
        </w:tc>
        <w:tc>
          <w:tcPr>
            <w:tcW w:w="7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22.8</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20 mg</w:t>
            </w:r>
          </w:p>
        </w:tc>
        <w:tc>
          <w:tcPr>
            <w:tcW w:w="4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12/11</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0.0852 (54)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2 (1-4.6)</w:t>
            </w:r>
          </w:p>
        </w:tc>
        <w:tc>
          <w:tcPr>
            <w:tcW w:w="66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rPr>
              <w:t>1.06 (40)</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11/9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0.191 (36)</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2 (1-4)</w:t>
            </w: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3.19 (37)</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3.0</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40 mg</w:t>
            </w:r>
          </w:p>
        </w:tc>
        <w:tc>
          <w:tcPr>
            <w:tcW w:w="4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13/13</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0.267(58)</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2 (0.5-24)</w:t>
            </w:r>
          </w:p>
        </w:tc>
        <w:tc>
          <w:tcPr>
            <w:tcW w:w="66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rPr>
              <w:t>3.14(48)</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NA</w:t>
            </w:r>
          </w:p>
        </w:tc>
        <w:tc>
          <w:tcPr>
            <w:tcW w:w="7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restart"/>
          </w:tcPr>
          <w:p>
            <w:pPr>
              <w:jc w:val="center"/>
              <w:ind w:left="33"/>
              <w:spacing w:after="0"/>
              <w:rPr>
                <w:sz w:val="20"/>
                <w:szCs w:val="20"/>
                <w:color w:val="auto"/>
              </w:rPr>
            </w:pPr>
            <w:r>
              <w:rPr>
                <w:rFonts w:ascii="Arial" w:cs="Arial" w:eastAsia="Arial" w:hAnsi="Arial"/>
                <w:sz w:val="13"/>
                <w:szCs w:val="13"/>
                <w:color w:val="auto"/>
              </w:rPr>
              <w:t>RMC-4630-01</w:t>
            </w:r>
          </w:p>
        </w:tc>
        <w:tc>
          <w:tcPr>
            <w:tcW w:w="72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QD</w:t>
            </w: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22</w:t>
            </w:r>
          </w:p>
        </w:tc>
        <w:tc>
          <w:tcPr>
            <w:tcW w:w="6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0.556 (54)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4 (1-8)</w:t>
            </w: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10.3 (53)</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3.3</w:t>
            </w:r>
          </w:p>
        </w:tc>
        <w:tc>
          <w:tcPr>
            <w:tcW w:w="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60 mg</w:t>
            </w:r>
          </w:p>
        </w:tc>
        <w:tc>
          <w:tcPr>
            <w:tcW w:w="4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16/16</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0.318 (29)</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2 (0.5-8)</w:t>
            </w: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3.97 (24)</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22</w:t>
            </w:r>
          </w:p>
        </w:tc>
        <w:tc>
          <w:tcPr>
            <w:tcW w:w="6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0.857 (45)</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2 (1-8)</w:t>
            </w: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14.6 (44)</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3.7</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ind w:left="13"/>
              <w:spacing w:after="0"/>
              <w:rPr>
                <w:sz w:val="20"/>
                <w:szCs w:val="20"/>
                <w:color w:val="auto"/>
              </w:rPr>
            </w:pPr>
            <w:r>
              <w:rPr>
                <w:rFonts w:ascii="Arial" w:cs="Arial" w:eastAsia="Arial" w:hAnsi="Arial"/>
                <w:sz w:val="13"/>
                <w:szCs w:val="13"/>
                <w:color w:val="auto"/>
              </w:rPr>
              <w:t>80 mg</w:t>
            </w:r>
          </w:p>
        </w:tc>
        <w:tc>
          <w:tcPr>
            <w:tcW w:w="4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68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3"/>
                <w:szCs w:val="13"/>
                <w:color w:val="auto"/>
              </w:rPr>
              <w:t>6/6</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rPr>
              <w:t>0.472 (84)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3"/>
                <w:szCs w:val="13"/>
                <w:color w:val="auto"/>
                <w:w w:val="99"/>
              </w:rPr>
              <w:t>3 (1-4)</w:t>
            </w:r>
          </w:p>
        </w:tc>
        <w:tc>
          <w:tcPr>
            <w:tcW w:w="66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3"/>
                <w:szCs w:val="13"/>
                <w:color w:val="auto"/>
              </w:rPr>
              <w:t>6.03 (56)</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1</w:t>
            </w:r>
          </w:p>
        </w:tc>
        <w:tc>
          <w:tcPr>
            <w:tcW w:w="36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22</w:t>
            </w:r>
          </w:p>
        </w:tc>
        <w:tc>
          <w:tcPr>
            <w:tcW w:w="680" w:type="dxa"/>
            <w:vAlign w:val="bottom"/>
            <w:tcBorders>
              <w:right w:val="single" w:sz="8" w:color="auto"/>
            </w:tcBorders>
            <w:vMerge w:val="restart"/>
          </w:tcPr>
          <w:p>
            <w:pPr>
              <w:jc w:val="center"/>
              <w:ind w:left="13"/>
              <w:spacing w:after="0" w:line="142" w:lineRule="exact"/>
              <w:rPr>
                <w:sz w:val="20"/>
                <w:szCs w:val="20"/>
                <w:color w:val="auto"/>
              </w:rPr>
            </w:pPr>
            <w:r>
              <w:rPr>
                <w:rFonts w:ascii="Arial" w:cs="Arial" w:eastAsia="Arial" w:hAnsi="Arial"/>
                <w:sz w:val="13"/>
                <w:szCs w:val="13"/>
                <w:color w:val="auto"/>
              </w:rPr>
              <w:t>2/2</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rPr>
              <w:t>0.844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3 (2-4)</w:t>
            </w:r>
          </w:p>
        </w:tc>
        <w:tc>
          <w:tcPr>
            <w:tcW w:w="660" w:type="dxa"/>
            <w:vAlign w:val="bottom"/>
            <w:tcBorders>
              <w:right w:val="single" w:sz="8" w:color="auto"/>
            </w:tcBorders>
            <w:vMerge w:val="restart"/>
          </w:tcPr>
          <w:p>
            <w:pPr>
              <w:jc w:val="center"/>
              <w:ind w:left="14"/>
              <w:spacing w:after="0" w:line="142" w:lineRule="exact"/>
              <w:rPr>
                <w:sz w:val="20"/>
                <w:szCs w:val="20"/>
                <w:color w:val="auto"/>
              </w:rPr>
            </w:pPr>
            <w:r>
              <w:rPr>
                <w:rFonts w:ascii="Arial" w:cs="Arial" w:eastAsia="Arial" w:hAnsi="Arial"/>
                <w:sz w:val="13"/>
                <w:szCs w:val="13"/>
                <w:color w:val="auto"/>
              </w:rPr>
              <w:t>13.9</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3"/>
                <w:szCs w:val="13"/>
                <w:color w:val="auto"/>
                <w:w w:val="99"/>
              </w:rPr>
              <w:t>2.3</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October 8, 2019. Number of patients evaluated for parameters Cmax and AUC are shown in N(Cmax/AUC) column.</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6300" w:type="dxa"/>
            <w:vAlign w:val="bottom"/>
          </w:tcPr>
          <w:p>
            <w:pPr>
              <w:spacing w:after="0"/>
              <w:rPr>
                <w:sz w:val="20"/>
                <w:szCs w:val="20"/>
                <w:color w:val="auto"/>
              </w:rPr>
            </w:pPr>
            <w:r>
              <w:rPr>
                <w:rFonts w:ascii="Arial" w:cs="Arial" w:eastAsia="Arial" w:hAnsi="Arial"/>
                <w:sz w:val="18"/>
                <w:szCs w:val="18"/>
                <w:b w:val="1"/>
                <w:bCs w:val="1"/>
                <w:color w:val="auto"/>
              </w:rPr>
              <w:t>Figure 10</w:t>
            </w:r>
            <w:r>
              <w:rPr>
                <w:rFonts w:ascii="Arial" w:cs="Arial" w:eastAsia="Arial" w:hAnsi="Arial"/>
                <w:sz w:val="18"/>
                <w:szCs w:val="18"/>
                <w:color w:val="auto"/>
              </w:rPr>
              <w:t>: Pharmacokinetics—daily schedule in RMC-4630-01 study.</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6300" w:type="dxa"/>
            <w:vAlign w:val="bottom"/>
          </w:tcPr>
          <w:p>
            <w:pPr>
              <w:ind w:left="2120"/>
              <w:spacing w:after="0"/>
              <w:rPr>
                <w:sz w:val="20"/>
                <w:szCs w:val="20"/>
                <w:color w:val="auto"/>
              </w:rPr>
            </w:pPr>
            <w:r>
              <w:rPr>
                <w:rFonts w:ascii="Arial" w:cs="Arial" w:eastAsia="Arial" w:hAnsi="Arial"/>
                <w:sz w:val="32"/>
                <w:szCs w:val="32"/>
                <w:b w:val="1"/>
                <w:bCs w:val="1"/>
                <w:color w:val="auto"/>
              </w:rPr>
              <w:t>PK C1D1</w:t>
            </w:r>
          </w:p>
        </w:tc>
        <w:tc>
          <w:tcPr>
            <w:tcW w:w="3360" w:type="dxa"/>
            <w:vAlign w:val="bottom"/>
            <w:vMerge w:val="restart"/>
          </w:tcPr>
          <w:p>
            <w:pPr>
              <w:ind w:left="900"/>
              <w:spacing w:after="0"/>
              <w:rPr>
                <w:sz w:val="20"/>
                <w:szCs w:val="20"/>
                <w:color w:val="auto"/>
              </w:rPr>
            </w:pPr>
            <w:r>
              <w:rPr>
                <w:rFonts w:ascii="Arial" w:cs="Arial" w:eastAsia="Arial" w:hAnsi="Arial"/>
                <w:sz w:val="32"/>
                <w:szCs w:val="32"/>
                <w:b w:val="1"/>
                <w:bCs w:val="1"/>
                <w:color w:val="auto"/>
              </w:rPr>
              <w:t>Steady state PK</w:t>
            </w:r>
          </w:p>
        </w:tc>
        <w:tc>
          <w:tcPr>
            <w:tcW w:w="0" w:type="dxa"/>
            <w:vAlign w:val="bottom"/>
          </w:tcPr>
          <w:p>
            <w:pPr>
              <w:spacing w:after="0"/>
              <w:rPr>
                <w:sz w:val="1"/>
                <w:szCs w:val="1"/>
                <w:color w:val="auto"/>
              </w:rPr>
            </w:pPr>
          </w:p>
        </w:tc>
      </w:tr>
      <w:tr>
        <w:trPr>
          <w:trHeight w:val="122"/>
        </w:trPr>
        <w:tc>
          <w:tcPr>
            <w:tcW w:w="630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93345</wp:posOffset>
            </wp:positionV>
            <wp:extent cx="5906135" cy="18942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0613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October 8, 2019.</w:t>
      </w:r>
    </w:p>
    <w:p>
      <w:pPr>
        <w:spacing w:after="0" w:line="27" w:lineRule="exact"/>
        <w:rPr>
          <w:sz w:val="20"/>
          <w:szCs w:val="20"/>
          <w:color w:val="auto"/>
        </w:rPr>
      </w:pPr>
    </w:p>
    <w:p>
      <w:pPr>
        <w:ind w:left="120" w:right="560"/>
        <w:spacing w:after="0" w:line="243" w:lineRule="auto"/>
        <w:rPr>
          <w:sz w:val="20"/>
          <w:szCs w:val="20"/>
          <w:color w:val="auto"/>
        </w:rPr>
      </w:pPr>
      <w:r>
        <w:rPr>
          <w:rFonts w:ascii="Arial" w:cs="Arial" w:eastAsia="Arial" w:hAnsi="Arial"/>
          <w:sz w:val="13"/>
          <w:szCs w:val="13"/>
          <w:color w:val="auto"/>
        </w:rPr>
        <w:t>Pharmacokinetic profile of RMC-4630 dosed at either 20 mg, 40 mg, 60 mg or 80 mg daily. Steady state is considered to be day 22 of cycle 1. EC</w:t>
      </w:r>
      <w:r>
        <w:rPr>
          <w:rFonts w:ascii="Arial" w:cs="Arial" w:eastAsia="Arial" w:hAnsi="Arial"/>
          <w:sz w:val="22"/>
          <w:szCs w:val="22"/>
          <w:color w:val="auto"/>
          <w:vertAlign w:val="subscript"/>
        </w:rPr>
        <w:t>50</w:t>
      </w:r>
      <w:r>
        <w:rPr>
          <w:rFonts w:ascii="Arial" w:cs="Arial" w:eastAsia="Arial" w:hAnsi="Arial"/>
          <w:sz w:val="13"/>
          <w:szCs w:val="13"/>
          <w:color w:val="auto"/>
        </w:rPr>
        <w:t>/fu and EC</w:t>
      </w:r>
      <w:r>
        <w:rPr>
          <w:rFonts w:ascii="Arial" w:cs="Arial" w:eastAsia="Arial" w:hAnsi="Arial"/>
          <w:sz w:val="22"/>
          <w:szCs w:val="22"/>
          <w:color w:val="auto"/>
          <w:vertAlign w:val="subscript"/>
        </w:rPr>
        <w:t>75</w:t>
      </w:r>
      <w:r>
        <w:rPr>
          <w:rFonts w:ascii="Arial" w:cs="Arial" w:eastAsia="Arial" w:hAnsi="Arial"/>
          <w:sz w:val="13"/>
          <w:szCs w:val="13"/>
          <w:color w:val="auto"/>
        </w:rPr>
        <w:t>/fu are the total estimated plasma concentrations in humans that correspond to 50% and 75% inhibition of pERK in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tumor models.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Pharmacodynamic effects of RMC-4630—daily and intermittent dosing schedules</w:t>
      </w:r>
    </w:p>
    <w:p>
      <w:pPr>
        <w:spacing w:after="0" w:line="12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Activation of the protein ERK, which is an important protein in the RAS signaling pathway and a substrate for MEK, is a good surrogate for the inhibition of pathway activity by a SHP2 inhibitor. The pharmacodynamic effects of RMC-4630 on activation of ERK were studied in the blood cells of patients being treated with RMC-4630. Despite considerable assay variability and inter-patient variability, which is common for these types of dynamic assays in patients, there was a trend in favor of inhibition of activated ERK in peripheral blood cells at all dose levels tested. These effects are consistent with engagement and inhibition of the SHP2 target and downstream RAS signaling by RMC-4630.</w:t>
      </w:r>
    </w:p>
    <w:p>
      <w:pPr>
        <w:spacing w:after="0" w:line="78"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Phosphorylation of ERK has been assessed in tumors before and during RMC-4630 administration (Figure 11). In three cases, there was a reduction in phosphorylation of cytoplasmic and nuclear ERK in the tumor while RMC-4630 was at steady state. One patient’s tumor showed no reduction in tumor pERK, but this tumor showed very little phosphorylation in the pre-treatment sample and the patient had not received any RMC-4630 for eight days prior to the second tumor biopsy.</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11</w:t>
      </w:r>
      <w:r>
        <w:rPr>
          <w:rFonts w:ascii="Arial" w:cs="Arial" w:eastAsia="Arial" w:hAnsi="Arial"/>
          <w:sz w:val="18"/>
          <w:szCs w:val="18"/>
          <w:color w:val="auto"/>
        </w:rPr>
        <w:t>: pERK inhibition in tumors on RMC-4630 in RMC-4630-01 study.</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Tumor pERK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8890</wp:posOffset>
            </wp:positionV>
            <wp:extent cx="5168900" cy="2957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6890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3"/>
          <w:szCs w:val="13"/>
          <w:color w:val="auto"/>
        </w:rPr>
        <w:t>Quantitation of phospho-ERK (pERK) in tumor tissue taken from patients treated with daily RMC-4630 at either 20 mg, 40 mg or 60 mg daily. Panel A represents the H score for pERK before and after dosing in four patients. H score is the product of percentage of tumor cells staining positive for pERK and the intensity of staining per cell. Both nuclear and cytoplasmic pERK are shown. Panel B shows the immunohistochemistry sections from which the H score is estimated. pERK stains brown. Panel C provides information for each patient on whom paired biopsies were obtained.</w:t>
      </w:r>
    </w:p>
    <w:p>
      <w:pPr>
        <w:spacing w:after="0" w:line="95"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Allelic burden of circulating KRAS</w:t>
      </w:r>
      <w:r>
        <w:rPr>
          <w:rFonts w:ascii="Arial" w:cs="Arial" w:eastAsia="Arial" w:hAnsi="Arial"/>
          <w:sz w:val="11"/>
          <w:szCs w:val="11"/>
          <w:color w:val="auto"/>
        </w:rPr>
        <w:t>G12C</w:t>
      </w:r>
      <w:r>
        <w:rPr>
          <w:rFonts w:ascii="Arial" w:cs="Arial" w:eastAsia="Arial" w:hAnsi="Arial"/>
          <w:sz w:val="18"/>
          <w:szCs w:val="18"/>
          <w:color w:val="auto"/>
        </w:rPr>
        <w:t xml:space="preserve"> tumor DNA, or ctDNA, has been assessed prior to the study and at least once during the study in seven patients with tumors harboring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 xml:space="preserve"> ctDNA was detected in four of seven patients prior to the study. In two patients, with NSCLC and either partial response or stable disease as best response, there was a reduction in circulating KRAS</w:t>
      </w:r>
      <w:r>
        <w:rPr>
          <w:rFonts w:ascii="Arial" w:cs="Arial" w:eastAsia="Arial" w:hAnsi="Arial"/>
          <w:sz w:val="11"/>
          <w:szCs w:val="11"/>
          <w:color w:val="auto"/>
        </w:rPr>
        <w:t>G12C</w:t>
      </w:r>
      <w:r>
        <w:rPr>
          <w:rFonts w:ascii="Arial" w:cs="Arial" w:eastAsia="Arial" w:hAnsi="Arial"/>
          <w:sz w:val="18"/>
          <w:szCs w:val="18"/>
          <w:color w:val="auto"/>
        </w:rPr>
        <w:t xml:space="preserve"> ctDNA. In one patient with colon cancer who had a progressive disease the allelic frequency of KRAS</w:t>
      </w:r>
      <w:r>
        <w:rPr>
          <w:rFonts w:ascii="Arial" w:cs="Arial" w:eastAsia="Arial" w:hAnsi="Arial"/>
          <w:sz w:val="11"/>
          <w:szCs w:val="11"/>
          <w:color w:val="auto"/>
        </w:rPr>
        <w:t>G12C</w:t>
      </w:r>
      <w:r>
        <w:rPr>
          <w:rFonts w:ascii="Arial" w:cs="Arial" w:eastAsia="Arial" w:hAnsi="Arial"/>
          <w:sz w:val="18"/>
          <w:szCs w:val="18"/>
          <w:color w:val="auto"/>
        </w:rPr>
        <w:t xml:space="preserve"> ctDNA increased.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evidence of clinical activity—daily and intermittent schedules</w:t>
      </w:r>
    </w:p>
    <w:p>
      <w:pPr>
        <w:spacing w:after="0" w:line="122"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There is preliminary evidence that RMC-4630 has single agent anti-tumor activity in KRAS mutant NSCLC and in NF1</w:t>
      </w:r>
      <w:r>
        <w:rPr>
          <w:rFonts w:ascii="Arial" w:cs="Arial" w:eastAsia="Arial" w:hAnsi="Arial"/>
          <w:sz w:val="10"/>
          <w:szCs w:val="10"/>
          <w:color w:val="auto"/>
        </w:rPr>
        <w:t>LOF</w:t>
      </w:r>
      <w:r>
        <w:rPr>
          <w:rFonts w:ascii="Arial" w:cs="Arial" w:eastAsia="Arial" w:hAnsi="Arial"/>
          <w:sz w:val="16"/>
          <w:szCs w:val="16"/>
          <w:color w:val="auto"/>
        </w:rPr>
        <w:t xml:space="preserve"> tumors. As of May 4, 2020, seven patients with KRAS</w:t>
      </w:r>
      <w:r>
        <w:rPr>
          <w:rFonts w:ascii="Arial" w:cs="Arial" w:eastAsia="Arial" w:hAnsi="Arial"/>
          <w:sz w:val="10"/>
          <w:szCs w:val="10"/>
          <w:color w:val="auto"/>
        </w:rPr>
        <w:t>G12C</w:t>
      </w:r>
      <w:r>
        <w:rPr>
          <w:rFonts w:ascii="Arial" w:cs="Arial" w:eastAsia="Arial" w:hAnsi="Arial"/>
          <w:sz w:val="16"/>
          <w:szCs w:val="16"/>
          <w:color w:val="auto"/>
        </w:rPr>
        <w:t xml:space="preserve"> NSCLC had follow-up CT scans of target lesions. Among them, one had partial response, five had stable disease, and one had disease progression (Figure 12); three patients had not reported follow-up measurements of target lesions, of which one has been recorded as best response of stable disease and two of progressive disease. Disease control rate, or DCR, the sum of best response of partial response and stable disease cases for patients with KRAS</w:t>
      </w:r>
      <w:r>
        <w:rPr>
          <w:rFonts w:ascii="Arial" w:cs="Arial" w:eastAsia="Arial" w:hAnsi="Arial"/>
          <w:sz w:val="10"/>
          <w:szCs w:val="10"/>
          <w:color w:val="auto"/>
        </w:rPr>
        <w:t>G12C</w:t>
      </w:r>
      <w:r>
        <w:rPr>
          <w:rFonts w:ascii="Arial" w:cs="Arial" w:eastAsia="Arial" w:hAnsi="Arial"/>
          <w:sz w:val="16"/>
          <w:szCs w:val="16"/>
          <w:color w:val="auto"/>
        </w:rPr>
        <w:t xml:space="preserve"> NSCLC as of the extract date was 7/10 (70%).</w:t>
      </w:r>
    </w:p>
    <w:p>
      <w:pPr>
        <w:spacing w:after="0" w:line="78" w:lineRule="exact"/>
        <w:rPr>
          <w:sz w:val="20"/>
          <w:szCs w:val="20"/>
          <w:color w:val="auto"/>
        </w:rPr>
      </w:pPr>
    </w:p>
    <w:p>
      <w:pPr>
        <w:jc w:val="both"/>
        <w:ind w:left="120" w:right="120"/>
        <w:spacing w:after="0" w:line="281" w:lineRule="auto"/>
        <w:rPr>
          <w:sz w:val="20"/>
          <w:szCs w:val="20"/>
          <w:color w:val="auto"/>
        </w:rPr>
      </w:pPr>
      <w:r>
        <w:rPr>
          <w:rFonts w:ascii="Arial" w:cs="Arial" w:eastAsia="Arial" w:hAnsi="Arial"/>
          <w:sz w:val="16"/>
          <w:szCs w:val="16"/>
          <w:color w:val="auto"/>
        </w:rPr>
        <w:t>For all patients with KRAS mutant NSCLC, DCR was 17/29 (59%) (Figure 13). One patient with KRAS</w:t>
      </w:r>
      <w:r>
        <w:rPr>
          <w:rFonts w:ascii="Arial" w:cs="Arial" w:eastAsia="Arial" w:hAnsi="Arial"/>
          <w:sz w:val="10"/>
          <w:szCs w:val="10"/>
          <w:color w:val="auto"/>
        </w:rPr>
        <w:t>G12V</w:t>
      </w:r>
      <w:r>
        <w:rPr>
          <w:rFonts w:ascii="Arial" w:cs="Arial" w:eastAsia="Arial" w:hAnsi="Arial"/>
          <w:sz w:val="16"/>
          <w:szCs w:val="16"/>
          <w:color w:val="auto"/>
        </w:rPr>
        <w:t xml:space="preserve"> NSCLC was on treatment for 16.3 months with stable disease (and approximately 15% reduction in tumor volume) as of the cut-off date. Duration of treatment, time to first and best response, duration of response and time to progression in NSCLC patients with any KRAS mutation are shown in Figure 14.</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histotypes other than NSCLC, the best response for tumors harboring a KRAS mutation, as of the cut-off date, was stable disease.</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color w:val="auto"/>
        </w:rPr>
        <w:t>Best change in tumor burden from baseline in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NSCLC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86360</wp:posOffset>
            </wp:positionV>
            <wp:extent cx="4791710" cy="21856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9171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ind w:left="120" w:right="60"/>
        <w:spacing w:after="0" w:line="218" w:lineRule="auto"/>
        <w:rPr>
          <w:sz w:val="20"/>
          <w:szCs w:val="20"/>
          <w:color w:val="auto"/>
        </w:rPr>
      </w:pPr>
      <w:r>
        <w:rPr>
          <w:rFonts w:ascii="Arial" w:cs="Arial" w:eastAsia="Arial" w:hAnsi="Arial"/>
          <w:sz w:val="13"/>
          <w:szCs w:val="13"/>
          <w:color w:val="auto"/>
        </w:rPr>
        <w:t>Waterfall plot of best tumor response for five patients with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NSCLC who had baseline target lesions assessed and at least one radiologic follow-up assessment of target lesion size. Percentage (Y axis) represents the percentage change from baseline in the Sum of Longest Diameters of target lesions using RECIST 1.1. Colors represent different dose levels. Data are presented for the efficacy evaluable population (N=10) defined as participants with baseline and at least one post-baseline scan or who died or had clinical progression prior to first post-baseline scan. Three patients are not represented in this figure: 2 PD (1 death due to clinical progression prior to first scan and 1 did not have measurement for one of the target lesions but had new lesion) and 1 SD (had partial missing tumor measurements in the database at the time of data extract).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13</w:t>
      </w:r>
      <w:r>
        <w:rPr>
          <w:rFonts w:ascii="Arial" w:cs="Arial" w:eastAsia="Arial" w:hAnsi="Arial"/>
          <w:sz w:val="18"/>
          <w:szCs w:val="18"/>
          <w:color w:val="auto"/>
        </w:rPr>
        <w:t>: Best change in tumor burden from baseline for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86360</wp:posOffset>
            </wp:positionV>
            <wp:extent cx="4903470" cy="2348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0347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ind w:left="120"/>
        <w:spacing w:after="0"/>
        <w:rPr>
          <w:sz w:val="20"/>
          <w:szCs w:val="20"/>
          <w:color w:val="auto"/>
        </w:rPr>
      </w:pPr>
      <w:r>
        <w:rPr>
          <w:rFonts w:ascii="Arial" w:cs="Arial" w:eastAsia="Arial" w:hAnsi="Arial"/>
          <w:sz w:val="13"/>
          <w:szCs w:val="13"/>
          <w:color w:val="auto"/>
        </w:rPr>
        <w:t>Waterfall plot of best tumor response for fourteen patients with KRAS mutant NSCLC, including KRAS</w:t>
      </w:r>
      <w:r>
        <w:rPr>
          <w:rFonts w:ascii="Arial" w:cs="Arial" w:eastAsia="Arial" w:hAnsi="Arial"/>
          <w:sz w:val="22"/>
          <w:szCs w:val="22"/>
          <w:color w:val="auto"/>
          <w:vertAlign w:val="superscript"/>
        </w:rPr>
        <w:t>G12C</w:t>
      </w:r>
      <w:r>
        <w:rPr>
          <w:rFonts w:ascii="Arial" w:cs="Arial" w:eastAsia="Arial" w:hAnsi="Arial"/>
          <w:sz w:val="13"/>
          <w:szCs w:val="13"/>
          <w:color w:val="auto"/>
        </w:rPr>
        <w:t>, who had baseline target lesions assessed and at least one radiologic follow-up assessment of target lesion size. Percentage (Y axis) represents the percentage change from baseline in the Sum of Longest Diameters of target lesions using RECIST 1.1. Colors represent different KRAS mutations. Data are presented for the efficacy evaluable population (N=29) defined as participants with baseline and at least one post-baseline scan or who died or had clinical progression prior to first post-baseline scan. Five patients are not represented in this figure: 1 patients had death due to clinical progression prior to first scan, 1 patient did not have measurements for one of the target lesions but progressed developing new lesion, and 3 patients had missing tumor measurements in the database at the time of data extract.</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9"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14</w:t>
      </w:r>
      <w:r>
        <w:rPr>
          <w:rFonts w:ascii="Arial" w:cs="Arial" w:eastAsia="Arial" w:hAnsi="Arial"/>
          <w:sz w:val="18"/>
          <w:szCs w:val="18"/>
          <w:color w:val="auto"/>
        </w:rPr>
        <w:t>: Duration of treatment, time to and duration of response in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86360</wp:posOffset>
            </wp:positionV>
            <wp:extent cx="5186045" cy="2922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ind w:left="120"/>
        <w:spacing w:after="0" w:line="227" w:lineRule="auto"/>
        <w:rPr>
          <w:sz w:val="20"/>
          <w:szCs w:val="20"/>
          <w:color w:val="auto"/>
        </w:rPr>
      </w:pPr>
      <w:r>
        <w:rPr>
          <w:rFonts w:ascii="Arial" w:cs="Arial" w:eastAsia="Arial" w:hAnsi="Arial"/>
          <w:sz w:val="13"/>
          <w:szCs w:val="13"/>
          <w:color w:val="auto"/>
        </w:rPr>
        <w:t>Swimmer plot of duration of treatment, time to first and best response, duration of response and time to progression for eighteen patients with KRAS mutant NSCLC, including</w:t>
      </w:r>
    </w:p>
    <w:p>
      <w:pPr>
        <w:ind w:left="120" w:right="40"/>
        <w:spacing w:after="0" w:line="197" w:lineRule="auto"/>
        <w:rPr>
          <w:sz w:val="20"/>
          <w:szCs w:val="20"/>
          <w:color w:val="auto"/>
        </w:rPr>
      </w:pPr>
      <w:r>
        <w:rPr>
          <w:rFonts w:ascii="Arial" w:cs="Arial" w:eastAsia="Arial" w:hAnsi="Arial"/>
          <w:sz w:val="13"/>
          <w:szCs w:val="13"/>
          <w:color w:val="auto"/>
        </w:rPr>
        <w:t>KRAS</w:t>
      </w:r>
      <w:r>
        <w:rPr>
          <w:rFonts w:ascii="Arial" w:cs="Arial" w:eastAsia="Arial" w:hAnsi="Arial"/>
          <w:sz w:val="22"/>
          <w:szCs w:val="22"/>
          <w:color w:val="auto"/>
          <w:vertAlign w:val="superscript"/>
        </w:rPr>
        <w:t>G12C</w:t>
      </w:r>
      <w:r>
        <w:rPr>
          <w:rFonts w:ascii="Arial" w:cs="Arial" w:eastAsia="Arial" w:hAnsi="Arial"/>
          <w:sz w:val="13"/>
          <w:szCs w:val="13"/>
          <w:color w:val="auto"/>
        </w:rPr>
        <w:t>. Percentage (Y axis) represents each individual patient. Colors represent different KRAS mutations. Data are presented for the efficacy evaluable population (N=29) defined as participants with baseline and at least one post-baseline scan or who died or had clinical progression prior to first post-baseline scan.</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Single agent activity of RMC-4630 has also been reported in two patients with tumors harboring NF1</w:t>
      </w:r>
      <w:r>
        <w:rPr>
          <w:rFonts w:ascii="Arial" w:cs="Arial" w:eastAsia="Arial" w:hAnsi="Arial"/>
          <w:sz w:val="11"/>
          <w:szCs w:val="11"/>
          <w:color w:val="auto"/>
        </w:rPr>
        <w:t>LOF</w:t>
      </w:r>
      <w:r>
        <w:rPr>
          <w:rFonts w:ascii="Arial" w:cs="Arial" w:eastAsia="Arial" w:hAnsi="Arial"/>
          <w:sz w:val="18"/>
          <w:szCs w:val="18"/>
          <w:color w:val="auto"/>
        </w:rPr>
        <w:t xml:space="preserve"> mutations. One patient, a 63 year old female with a poorly differentiated uterine carcinosarcoma, had a complete response. This patient was diagnosed in October 2017 with a tumor harboring two NF1</w:t>
      </w:r>
      <w:r>
        <w:rPr>
          <w:rFonts w:ascii="Arial" w:cs="Arial" w:eastAsia="Arial" w:hAnsi="Arial"/>
          <w:sz w:val="11"/>
          <w:szCs w:val="11"/>
          <w:color w:val="auto"/>
        </w:rPr>
        <w:t>LOF</w:t>
      </w:r>
      <w:r>
        <w:rPr>
          <w:rFonts w:ascii="Arial" w:cs="Arial" w:eastAsia="Arial" w:hAnsi="Arial"/>
          <w:sz w:val="18"/>
          <w:szCs w:val="18"/>
          <w:color w:val="auto"/>
        </w:rPr>
        <w:t xml:space="preserve"> mutations, a POLE (DNA repair) mutation, and ultra-high tumor mutational burden. The patient had received two treatment regimens prior to starting RMC-4630. She started RMC-4630 200 mg D1D4 and was subsequently reduced to 140 mg D1D4 due to gastrointestinal toxicity. At two months, her tumor dimension had reduced from 1.7 cm to undetectable. A complete response was subsequently confirmed and she continues in complete response at five months on study therapy.</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second patient with NSCLC harboring a co-existing NF1</w:t>
      </w:r>
      <w:r>
        <w:rPr>
          <w:rFonts w:ascii="Arial" w:cs="Arial" w:eastAsia="Arial" w:hAnsi="Arial"/>
          <w:sz w:val="11"/>
          <w:szCs w:val="11"/>
          <w:color w:val="auto"/>
        </w:rPr>
        <w:t>LOF</w:t>
      </w:r>
      <w:r>
        <w:rPr>
          <w:rFonts w:ascii="Arial" w:cs="Arial" w:eastAsia="Arial" w:hAnsi="Arial"/>
          <w:sz w:val="18"/>
          <w:szCs w:val="18"/>
          <w:color w:val="auto"/>
        </w:rPr>
        <w:t xml:space="preserve"> and KRAS</w:t>
      </w:r>
      <w:r>
        <w:rPr>
          <w:rFonts w:ascii="Arial" w:cs="Arial" w:eastAsia="Arial" w:hAnsi="Arial"/>
          <w:sz w:val="11"/>
          <w:szCs w:val="11"/>
          <w:color w:val="auto"/>
        </w:rPr>
        <w:t>G12C</w:t>
      </w:r>
      <w:r>
        <w:rPr>
          <w:rFonts w:ascii="Arial" w:cs="Arial" w:eastAsia="Arial" w:hAnsi="Arial"/>
          <w:sz w:val="18"/>
          <w:szCs w:val="18"/>
          <w:color w:val="auto"/>
        </w:rPr>
        <w:t xml:space="preserve"> had tumor shrinkage (Figure 15a).</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15a</w:t>
      </w:r>
      <w:r>
        <w:rPr>
          <w:rFonts w:ascii="Arial" w:cs="Arial" w:eastAsia="Arial" w:hAnsi="Arial"/>
          <w:sz w:val="18"/>
          <w:szCs w:val="18"/>
          <w:color w:val="auto"/>
        </w:rPr>
        <w:t>: Waterfall plot of patients with NSCLC or gynecologic tumors harboring NF1</w:t>
      </w:r>
      <w:r>
        <w:rPr>
          <w:rFonts w:ascii="Arial" w:cs="Arial" w:eastAsia="Arial" w:hAnsi="Arial"/>
          <w:sz w:val="11"/>
          <w:szCs w:val="11"/>
          <w:color w:val="auto"/>
        </w:rPr>
        <w:t>LOF</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86360</wp:posOffset>
            </wp:positionV>
            <wp:extent cx="4869180" cy="26231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6918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May 4, 2020.</w:t>
      </w:r>
    </w:p>
    <w:p>
      <w:pPr>
        <w:spacing w:after="0" w:line="13" w:lineRule="exact"/>
        <w:rPr>
          <w:sz w:val="20"/>
          <w:szCs w:val="20"/>
          <w:color w:val="auto"/>
        </w:rPr>
      </w:pPr>
    </w:p>
    <w:p>
      <w:pPr>
        <w:jc w:val="both"/>
        <w:ind w:left="120" w:right="20"/>
        <w:spacing w:after="0" w:line="199" w:lineRule="auto"/>
        <w:rPr>
          <w:sz w:val="20"/>
          <w:szCs w:val="20"/>
          <w:color w:val="auto"/>
        </w:rPr>
      </w:pPr>
      <w:r>
        <w:rPr>
          <w:rFonts w:ascii="Arial" w:cs="Arial" w:eastAsia="Arial" w:hAnsi="Arial"/>
          <w:sz w:val="13"/>
          <w:szCs w:val="13"/>
          <w:color w:val="auto"/>
        </w:rPr>
        <w:t>Data are presented for the efficacy evaluable population (N=6) defined as participants with baseline and at least one post-baseline scan or who died or had clinical progression prior to first post-baseline scan. One patient (NSCLC) with death due to clinical PD prior to first scan is not represented in this figure. NF1</w:t>
      </w:r>
      <w:r>
        <w:rPr>
          <w:rFonts w:ascii="Arial" w:cs="Arial" w:eastAsia="Arial" w:hAnsi="Arial"/>
          <w:sz w:val="22"/>
          <w:szCs w:val="22"/>
          <w:color w:val="auto"/>
          <w:vertAlign w:val="superscript"/>
        </w:rPr>
        <w:t>LOF</w:t>
      </w:r>
      <w:r>
        <w:rPr>
          <w:rFonts w:ascii="Arial" w:cs="Arial" w:eastAsia="Arial" w:hAnsi="Arial"/>
          <w:sz w:val="13"/>
          <w:szCs w:val="13"/>
          <w:color w:val="auto"/>
        </w:rPr>
        <w:t xml:space="preserve"> is loss, or significant reduction, in neurofibromin protein function is presumed from nature of mutation.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RMC-4630-02 study of RMC-4630 in combination with cobimetinib in patients with advanced solid tumors</w:t>
      </w:r>
    </w:p>
    <w:p>
      <w:pPr>
        <w:spacing w:after="0" w:line="12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RMC-4630-02 is a Phase 1b/2 study of RMC-4630 in combination with the MEK inhibitor cobimetinib in patients with advanced cancers that harbor mutations in the RAS signaling pathway. The study is designed to evaluate the safety, tolerability and pharmacokinetics of RMC-4630 and cobimetinib under two different dose administration schedules.</w:t>
      </w:r>
    </w:p>
    <w:p>
      <w:pPr>
        <w:spacing w:after="0" w:line="100" w:lineRule="exact"/>
        <w:rPr>
          <w:sz w:val="20"/>
          <w:szCs w:val="20"/>
          <w:color w:val="auto"/>
        </w:rPr>
      </w:pPr>
    </w:p>
    <w:p>
      <w:pPr>
        <w:jc w:val="both"/>
        <w:ind w:left="120"/>
        <w:spacing w:after="0" w:line="281" w:lineRule="auto"/>
        <w:rPr>
          <w:sz w:val="20"/>
          <w:szCs w:val="20"/>
          <w:color w:val="auto"/>
        </w:rPr>
      </w:pPr>
      <w:r>
        <w:rPr>
          <w:rFonts w:ascii="Arial" w:cs="Arial" w:eastAsia="Arial" w:hAnsi="Arial"/>
          <w:sz w:val="16"/>
          <w:szCs w:val="16"/>
          <w:color w:val="auto"/>
        </w:rPr>
        <w:t>The objective of this study is to determine a recommended dose and schedule and further test clinical activity of the combination. Initially, the study assesses twice weekly RMC-4630 with daily (21 days on, 7 off) cobimetinib. A preliminary evaluation of anti-tumor activity is also being made. Alternative dosing schedules using intermittent dosing of one or both RMC-4630 and cobimetinib are also under evaluation.</w:t>
      </w:r>
    </w:p>
    <w:p>
      <w:pPr>
        <w:spacing w:after="0" w:line="6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Data are provided here for eight patients that had been enrolled, had received study medication at the first dose level and were evaluable for safety as of November 14, 2019. Enrollment has continued in additional dose cohorts in this ongoing study.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320" w:top="459"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Interim safety and tolerability</w:t>
      </w:r>
    </w:p>
    <w:p>
      <w:pPr>
        <w:spacing w:after="0" w:line="122"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Eight patients have been evaluated for safety with a median RMC-4630 exposure of 1.4 months (range 0.1 – 2.5 months). Demographic and baseline characteristics information is shown in Table 9.</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9</w:t>
      </w:r>
      <w:r>
        <w:rPr>
          <w:rFonts w:ascii="Arial" w:cs="Arial" w:eastAsia="Arial" w:hAnsi="Arial"/>
          <w:sz w:val="18"/>
          <w:szCs w:val="18"/>
          <w:color w:val="auto"/>
        </w:rPr>
        <w:t>: Demographics and baseline characteristics for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20" w:type="dxa"/>
            <w:vAlign w:val="bottom"/>
          </w:tcPr>
          <w:p>
            <w:pPr>
              <w:spacing w:after="0"/>
              <w:rPr>
                <w:sz w:val="17"/>
                <w:szCs w:val="17"/>
                <w:color w:val="auto"/>
              </w:rPr>
            </w:pPr>
          </w:p>
        </w:tc>
        <w:tc>
          <w:tcPr>
            <w:tcW w:w="4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RMC-4630 80 mg</w:t>
            </w:r>
          </w:p>
        </w:tc>
      </w:tr>
      <w:tr>
        <w:trPr>
          <w:trHeight w:val="203"/>
        </w:trPr>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D1,D4</w:t>
            </w:r>
          </w:p>
        </w:tc>
      </w:tr>
      <w:tr>
        <w:trPr>
          <w:trHeight w:val="203"/>
        </w:trPr>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Cobimetinib 20 mg</w:t>
            </w:r>
          </w:p>
        </w:tc>
      </w:tr>
      <w:tr>
        <w:trPr>
          <w:trHeight w:val="203"/>
        </w:trPr>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QD 21/7</w:t>
            </w:r>
          </w:p>
        </w:tc>
      </w:tr>
      <w:tr>
        <w:trPr>
          <w:trHeight w:val="234"/>
        </w:trPr>
        <w:tc>
          <w:tcPr>
            <w:tcW w:w="66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(N=8)</w:t>
            </w:r>
          </w:p>
        </w:tc>
      </w:tr>
      <w:tr>
        <w:trPr>
          <w:trHeight w:val="197"/>
        </w:trPr>
        <w:tc>
          <w:tcPr>
            <w:tcW w:w="66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4400" w:type="dxa"/>
            <w:vAlign w:val="bottom"/>
            <w:gridSpan w:val="2"/>
            <w:shd w:val="clear" w:color="auto" w:fill="CCEEFF"/>
          </w:tcPr>
          <w:p>
            <w:pPr>
              <w:jc w:val="right"/>
              <w:ind w:right="80"/>
              <w:spacing w:after="0" w:line="197" w:lineRule="exact"/>
              <w:rPr>
                <w:sz w:val="20"/>
                <w:szCs w:val="20"/>
                <w:color w:val="auto"/>
              </w:rPr>
            </w:pPr>
            <w:r>
              <w:rPr>
                <w:rFonts w:ascii="Arial" w:cs="Arial" w:eastAsia="Arial" w:hAnsi="Arial"/>
                <w:sz w:val="18"/>
                <w:szCs w:val="18"/>
                <w:color w:val="auto"/>
              </w:rPr>
              <w:t>61.5 (35.0 – 64.0)</w:t>
            </w:r>
          </w:p>
        </w:tc>
      </w:tr>
      <w:tr>
        <w:trPr>
          <w:trHeight w:val="214"/>
        </w:trPr>
        <w:tc>
          <w:tcPr>
            <w:tcW w:w="6620" w:type="dxa"/>
            <w:vAlign w:val="bottom"/>
          </w:tcPr>
          <w:p>
            <w:pPr>
              <w:spacing w:after="0"/>
              <w:rPr>
                <w:sz w:val="20"/>
                <w:szCs w:val="20"/>
                <w:color w:val="auto"/>
              </w:rPr>
            </w:pPr>
            <w:r>
              <w:rPr>
                <w:rFonts w:ascii="Arial" w:cs="Arial" w:eastAsia="Arial" w:hAnsi="Arial"/>
                <w:sz w:val="18"/>
                <w:szCs w:val="18"/>
                <w:color w:val="auto"/>
              </w:rPr>
              <w:t>Male (%)</w:t>
            </w:r>
          </w:p>
        </w:tc>
        <w:tc>
          <w:tcPr>
            <w:tcW w:w="4320" w:type="dxa"/>
            <w:vAlign w:val="bottom"/>
          </w:tcPr>
          <w:p>
            <w:pPr>
              <w:jc w:val="right"/>
              <w:spacing w:after="0"/>
              <w:rPr>
                <w:sz w:val="20"/>
                <w:szCs w:val="20"/>
                <w:color w:val="auto"/>
              </w:rPr>
            </w:pPr>
            <w:r>
              <w:rPr>
                <w:rFonts w:ascii="Arial" w:cs="Arial" w:eastAsia="Arial" w:hAnsi="Arial"/>
                <w:sz w:val="18"/>
                <w:szCs w:val="18"/>
                <w:color w:val="auto"/>
              </w:rPr>
              <w:t>3 (37.5%)</w:t>
            </w:r>
          </w:p>
        </w:tc>
        <w:tc>
          <w:tcPr>
            <w:tcW w:w="80" w:type="dxa"/>
            <w:vAlign w:val="bottom"/>
          </w:tcPr>
          <w:p>
            <w:pPr>
              <w:spacing w:after="0"/>
              <w:rPr>
                <w:sz w:val="18"/>
                <w:szCs w:val="18"/>
                <w:color w:val="auto"/>
              </w:rPr>
            </w:pPr>
          </w:p>
        </w:tc>
      </w:tr>
      <w:tr>
        <w:trPr>
          <w:trHeight w:val="56"/>
        </w:trPr>
        <w:tc>
          <w:tcPr>
            <w:tcW w:w="6620" w:type="dxa"/>
            <w:vAlign w:val="bottom"/>
          </w:tcPr>
          <w:p>
            <w:pPr>
              <w:spacing w:after="0"/>
              <w:rPr>
                <w:sz w:val="4"/>
                <w:szCs w:val="4"/>
                <w:color w:val="auto"/>
              </w:rPr>
            </w:pPr>
          </w:p>
        </w:tc>
        <w:tc>
          <w:tcPr>
            <w:tcW w:w="43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4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Lung (%)</w:t>
            </w:r>
          </w:p>
        </w:tc>
        <w:tc>
          <w:tcPr>
            <w:tcW w:w="4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Colon and/or Rectal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Pancreatic (%)</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2 (25.0%)</w:t>
            </w:r>
          </w:p>
        </w:tc>
        <w:tc>
          <w:tcPr>
            <w:tcW w:w="80" w:type="dxa"/>
            <w:vAlign w:val="bottom"/>
          </w:tcPr>
          <w:p>
            <w:pPr>
              <w:spacing w:after="0"/>
              <w:rPr>
                <w:sz w:val="17"/>
                <w:szCs w:val="17"/>
                <w:color w:val="auto"/>
              </w:rPr>
            </w:pPr>
          </w:p>
        </w:tc>
      </w:tr>
      <w:tr>
        <w:trPr>
          <w:trHeight w:val="203"/>
        </w:trPr>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Ovarian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(12.5%)</w:t>
            </w:r>
          </w:p>
        </w:tc>
        <w:tc>
          <w:tcPr>
            <w:tcW w:w="80" w:type="dxa"/>
            <w:vAlign w:val="bottom"/>
            <w:shd w:val="clear" w:color="auto" w:fill="CCEEFF"/>
          </w:tcPr>
          <w:p>
            <w:pPr>
              <w:spacing w:after="0"/>
              <w:rPr>
                <w:sz w:val="17"/>
                <w:szCs w:val="17"/>
                <w:color w:val="auto"/>
              </w:rPr>
            </w:pPr>
          </w:p>
        </w:tc>
      </w:tr>
      <w:tr>
        <w:trPr>
          <w:trHeight w:val="270"/>
        </w:trPr>
        <w:tc>
          <w:tcPr>
            <w:tcW w:w="6620" w:type="dxa"/>
            <w:vAlign w:val="bottom"/>
          </w:tcPr>
          <w:p>
            <w:pPr>
              <w:spacing w:after="0"/>
              <w:rPr>
                <w:sz w:val="20"/>
                <w:szCs w:val="20"/>
                <w:color w:val="auto"/>
              </w:rPr>
            </w:pPr>
            <w:r>
              <w:rPr>
                <w:rFonts w:ascii="Arial" w:cs="Arial" w:eastAsia="Arial" w:hAnsi="Arial"/>
                <w:sz w:val="18"/>
                <w:szCs w:val="18"/>
                <w:color w:val="auto"/>
              </w:rPr>
              <w:t>ECOG performance status</w:t>
            </w:r>
          </w:p>
        </w:tc>
        <w:tc>
          <w:tcPr>
            <w:tcW w:w="43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0</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1</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3 (37.5%)</w:t>
            </w:r>
          </w:p>
        </w:tc>
        <w:tc>
          <w:tcPr>
            <w:tcW w:w="80" w:type="dxa"/>
            <w:vAlign w:val="bottom"/>
          </w:tcPr>
          <w:p>
            <w:pPr>
              <w:spacing w:after="0"/>
              <w:rPr>
                <w:sz w:val="17"/>
                <w:szCs w:val="17"/>
                <w:color w:val="auto"/>
              </w:rPr>
            </w:pPr>
          </w:p>
        </w:tc>
      </w:tr>
      <w:tr>
        <w:trPr>
          <w:trHeight w:val="203"/>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prior cancer therapies, median (range)</w:t>
            </w:r>
          </w:p>
        </w:tc>
        <w:tc>
          <w:tcPr>
            <w:tcW w:w="4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4(2–6)</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November 14, 2019.</w:t>
      </w:r>
    </w:p>
    <w:p>
      <w:pPr>
        <w:spacing w:after="0" w:line="67" w:lineRule="exact"/>
        <w:rPr>
          <w:sz w:val="20"/>
          <w:szCs w:val="20"/>
          <w:color w:val="auto"/>
        </w:rPr>
      </w:pPr>
    </w:p>
    <w:p>
      <w:pPr>
        <w:ind w:left="120" w:right="60"/>
        <w:spacing w:after="0" w:line="258" w:lineRule="auto"/>
        <w:rPr>
          <w:sz w:val="20"/>
          <w:szCs w:val="20"/>
          <w:color w:val="auto"/>
        </w:rPr>
      </w:pPr>
      <w:r>
        <w:rPr>
          <w:rFonts w:ascii="Arial" w:cs="Arial" w:eastAsia="Arial" w:hAnsi="Arial"/>
          <w:sz w:val="13"/>
          <w:szCs w:val="13"/>
          <w:color w:val="auto"/>
        </w:rPr>
        <w:t>The ECOG (Eastern Cooperative Oncology Group) performance status is a scale often used to describe patients’ level of functioning in terms of their ability to care for themselves, daily activity, and physical ability (walking, working, etc.).</w:t>
      </w:r>
    </w:p>
    <w:p>
      <w:pPr>
        <w:spacing w:after="0" w:line="3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emerging safety profile is consistent with the mechanistic effects of both SHP2 inhibition and MEK inhibition, including edema, diarrhea and other gastrointestinal toxicity, anemia and rash. This safety profile was largely predictable from single agent clinical studies of both agents.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10</w:t>
      </w:r>
      <w:r>
        <w:rPr>
          <w:rFonts w:ascii="Arial" w:cs="Arial" w:eastAsia="Arial" w:hAnsi="Arial"/>
          <w:sz w:val="18"/>
          <w:szCs w:val="18"/>
          <w:color w:val="auto"/>
        </w:rPr>
        <w:t>: Related AEs attributed to RMC-4630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Any grade</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Grade 1</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Grade 2</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Diarrhea</w:t>
            </w:r>
          </w:p>
        </w:tc>
        <w:tc>
          <w:tcPr>
            <w:tcW w:w="332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2 (25.0%)</w:t>
            </w:r>
          </w:p>
        </w:tc>
        <w:tc>
          <w:tcPr>
            <w:tcW w:w="1160" w:type="dxa"/>
            <w:vAlign w:val="bottom"/>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7"/>
              </w:rPr>
              <w:t>2 (25.0%)</w:t>
            </w:r>
          </w:p>
        </w:tc>
        <w:tc>
          <w:tcPr>
            <w:tcW w:w="1200" w:type="dxa"/>
            <w:vAlign w:val="bottom"/>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Edema*</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 (25.0%)</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Dry mouth</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Nephropathy</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 (12.5%)</w:t>
            </w: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7"/>
              </w:rPr>
              <w:t>1 (12.5%)</w:t>
            </w: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November 14, 2019.</w:t>
      </w:r>
    </w:p>
    <w:p>
      <w:pPr>
        <w:spacing w:after="0" w:line="81" w:lineRule="exact"/>
        <w:rPr>
          <w:sz w:val="20"/>
          <w:szCs w:val="20"/>
          <w:color w:val="auto"/>
        </w:rPr>
      </w:pPr>
    </w:p>
    <w:p>
      <w:pPr>
        <w:ind w:left="440" w:hanging="324"/>
        <w:spacing w:after="0"/>
        <w:tabs>
          <w:tab w:leader="none" w:pos="4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Consists of eyelid edema, face edema, generalized edema, lip edema, edema, edema peripheral, periorbital edema and peripheral swelling.</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Table 11: </w:t>
      </w:r>
      <w:r>
        <w:rPr>
          <w:rFonts w:ascii="Arial" w:cs="Arial" w:eastAsia="Arial" w:hAnsi="Arial"/>
          <w:sz w:val="18"/>
          <w:szCs w:val="18"/>
          <w:color w:val="auto"/>
        </w:rPr>
        <w:t>Related AEs attributed to cobimetinib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Any grade</w:t>
            </w: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Grade 1</w:t>
            </w: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Grade 2</w:t>
            </w: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Edema*</w:t>
            </w:r>
          </w:p>
        </w:tc>
        <w:tc>
          <w:tcPr>
            <w:tcW w:w="332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2 (25.0%)</w:t>
            </w:r>
          </w:p>
        </w:tc>
        <w:tc>
          <w:tcPr>
            <w:tcW w:w="1160" w:type="dxa"/>
            <w:vAlign w:val="bottom"/>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7"/>
              </w:rPr>
              <w:t>1 (12.5%)</w:t>
            </w:r>
          </w:p>
        </w:tc>
        <w:tc>
          <w:tcPr>
            <w:tcW w:w="10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Decreased appetite</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Dizziness</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Diarrhea</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7"/>
              </w:rPr>
              <w:t>1 (12.5%)</w:t>
            </w: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116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1 (12.5%)</w:t>
            </w: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7"/>
              </w:rPr>
              <w:t>1 (12.5%)</w:t>
            </w: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November 14, 2019.</w:t>
      </w:r>
    </w:p>
    <w:p>
      <w:pPr>
        <w:spacing w:after="0" w:line="81" w:lineRule="exact"/>
        <w:rPr>
          <w:sz w:val="20"/>
          <w:szCs w:val="20"/>
          <w:color w:val="auto"/>
        </w:rPr>
      </w:pPr>
    </w:p>
    <w:p>
      <w:pPr>
        <w:ind w:left="440" w:hanging="324"/>
        <w:spacing w:after="0"/>
        <w:tabs>
          <w:tab w:leader="none" w:pos="4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Consists of eyelid edema, face edema, generalized edema, lip edema, edema, edema peripheral, periorbital edema and peripheral swelling.</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Pharmacokinetics</w:t>
      </w:r>
    </w:p>
    <w:p>
      <w:pPr>
        <w:spacing w:after="0" w:line="122" w:lineRule="exact"/>
        <w:rPr>
          <w:sz w:val="20"/>
          <w:szCs w:val="20"/>
          <w:color w:val="auto"/>
        </w:rPr>
      </w:pPr>
    </w:p>
    <w:p>
      <w:pPr>
        <w:ind w:left="120" w:right="620"/>
        <w:spacing w:after="0" w:line="221" w:lineRule="auto"/>
        <w:rPr>
          <w:sz w:val="20"/>
          <w:szCs w:val="20"/>
          <w:color w:val="auto"/>
        </w:rPr>
      </w:pPr>
      <w:r>
        <w:rPr>
          <w:rFonts w:ascii="Arial" w:cs="Arial" w:eastAsia="Arial" w:hAnsi="Arial"/>
          <w:sz w:val="18"/>
          <w:szCs w:val="18"/>
          <w:color w:val="auto"/>
        </w:rPr>
        <w:t>The pharmacokinetic profiles of RMC-4630 and cobimetinib are shown in Table 13 and Figure 15b. Plasma levels of RMC-4630 were consistent with those obtained in the RMC-4630-01 study and were continuously greater than our predicted EC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pERK inhibition in preclinical tumor models.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Table 12: </w:t>
      </w:r>
      <w:r>
        <w:rPr>
          <w:rFonts w:ascii="Arial" w:cs="Arial" w:eastAsia="Arial" w:hAnsi="Arial"/>
          <w:sz w:val="18"/>
          <w:szCs w:val="18"/>
          <w:color w:val="auto"/>
        </w:rPr>
        <w:t>Summary of pharmacokinetics in the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133"/>
              <w:spacing w:after="0"/>
              <w:rPr>
                <w:sz w:val="20"/>
                <w:szCs w:val="20"/>
                <w:color w:val="auto"/>
              </w:rPr>
            </w:pPr>
            <w:r>
              <w:rPr>
                <w:rFonts w:ascii="Arial" w:cs="Arial" w:eastAsia="Arial" w:hAnsi="Arial"/>
                <w:sz w:val="13"/>
                <w:szCs w:val="13"/>
                <w:b w:val="1"/>
                <w:bCs w:val="1"/>
                <w:color w:val="auto"/>
              </w:rPr>
              <w:t>Dose (mg)</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PK parameters [Mean(CV%)]</w:t>
            </w:r>
          </w:p>
        </w:tc>
        <w:tc>
          <w:tcPr>
            <w:tcW w:w="0" w:type="dxa"/>
            <w:vAlign w:val="bottom"/>
          </w:tcPr>
          <w:p>
            <w:pPr>
              <w:spacing w:after="0"/>
              <w:rPr>
                <w:sz w:val="1"/>
                <w:szCs w:val="1"/>
                <w:color w:val="auto"/>
              </w:rPr>
            </w:pPr>
          </w:p>
        </w:tc>
      </w:tr>
      <w:tr>
        <w:trPr>
          <w:trHeight w:val="125"/>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gridSpan w:val="2"/>
          </w:tcPr>
          <w:p>
            <w:pPr>
              <w:jc w:val="right"/>
              <w:ind w:right="95"/>
              <w:spacing w:after="0" w:line="126" w:lineRule="exact"/>
              <w:rPr>
                <w:sz w:val="20"/>
                <w:szCs w:val="20"/>
                <w:color w:val="auto"/>
              </w:rPr>
            </w:pPr>
            <w:r>
              <w:rPr>
                <w:rFonts w:ascii="Arial" w:cs="Arial" w:eastAsia="Arial" w:hAnsi="Arial"/>
                <w:sz w:val="13"/>
                <w:szCs w:val="13"/>
                <w:b w:val="1"/>
                <w:bCs w:val="1"/>
                <w:color w:val="auto"/>
              </w:rPr>
              <w:t>Median</w:t>
            </w:r>
          </w:p>
        </w:tc>
        <w:tc>
          <w:tcPr>
            <w:tcW w:w="9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vMerge w:val="restart"/>
          </w:tcPr>
          <w:p>
            <w:pPr>
              <w:jc w:val="right"/>
              <w:ind w:right="54"/>
              <w:spacing w:after="0"/>
              <w:rPr>
                <w:sz w:val="20"/>
                <w:szCs w:val="20"/>
                <w:color w:val="auto"/>
              </w:rPr>
            </w:pPr>
            <w:r>
              <w:rPr>
                <w:rFonts w:ascii="Arial" w:cs="Arial" w:eastAsia="Arial" w:hAnsi="Arial"/>
                <w:sz w:val="26"/>
                <w:szCs w:val="26"/>
                <w:b w:val="1"/>
                <w:bCs w:val="1"/>
                <w:color w:val="auto"/>
                <w:vertAlign w:val="superscript"/>
              </w:rPr>
              <w:t>C</w:t>
            </w:r>
            <w:r>
              <w:rPr>
                <w:rFonts w:ascii="Arial" w:cs="Arial" w:eastAsia="Arial" w:hAnsi="Arial"/>
                <w:sz w:val="11"/>
                <w:szCs w:val="11"/>
                <w:b w:val="1"/>
                <w:bCs w:val="1"/>
                <w:color w:val="auto"/>
              </w:rPr>
              <w:t>max</w:t>
            </w:r>
          </w:p>
        </w:tc>
        <w:tc>
          <w:tcPr>
            <w:tcW w:w="320" w:type="dxa"/>
            <w:vAlign w:val="bottom"/>
          </w:tcPr>
          <w:p>
            <w:pPr>
              <w:spacing w:after="0"/>
              <w:rPr>
                <w:sz w:val="14"/>
                <w:szCs w:val="14"/>
                <w:color w:val="auto"/>
              </w:rPr>
            </w:pPr>
          </w:p>
        </w:tc>
        <w:tc>
          <w:tcPr>
            <w:tcW w:w="480" w:type="dxa"/>
            <w:vAlign w:val="bottom"/>
          </w:tcPr>
          <w:p>
            <w:pPr>
              <w:jc w:val="right"/>
              <w:ind w:right="95"/>
              <w:spacing w:after="0" w:line="165" w:lineRule="exact"/>
              <w:rPr>
                <w:sz w:val="20"/>
                <w:szCs w:val="20"/>
                <w:color w:val="auto"/>
              </w:rPr>
            </w:pPr>
            <w:r>
              <w:rPr>
                <w:rFonts w:ascii="Arial" w:cs="Arial" w:eastAsia="Arial" w:hAnsi="Arial"/>
                <w:sz w:val="19"/>
                <w:szCs w:val="19"/>
                <w:b w:val="1"/>
                <w:bCs w:val="1"/>
                <w:color w:val="auto"/>
                <w:vertAlign w:val="superscript"/>
              </w:rPr>
              <w:t>T</w:t>
            </w:r>
            <w:r>
              <w:rPr>
                <w:rFonts w:ascii="Arial" w:cs="Arial" w:eastAsia="Arial" w:hAnsi="Arial"/>
                <w:sz w:val="9"/>
                <w:szCs w:val="9"/>
                <w:b w:val="1"/>
                <w:bCs w:val="1"/>
                <w:color w:val="auto"/>
              </w:rPr>
              <w:t>max</w:t>
            </w:r>
          </w:p>
        </w:tc>
        <w:tc>
          <w:tcPr>
            <w:tcW w:w="920" w:type="dxa"/>
            <w:vAlign w:val="bottom"/>
            <w:vMerge w:val="restart"/>
          </w:tcPr>
          <w:p>
            <w:pPr>
              <w:jc w:val="right"/>
              <w:ind w:right="154"/>
              <w:spacing w:after="0"/>
              <w:rPr>
                <w:sz w:val="20"/>
                <w:szCs w:val="20"/>
                <w:color w:val="auto"/>
              </w:rPr>
            </w:pPr>
            <w:r>
              <w:rPr>
                <w:rFonts w:ascii="Arial" w:cs="Arial" w:eastAsia="Arial" w:hAnsi="Arial"/>
                <w:sz w:val="26"/>
                <w:szCs w:val="26"/>
                <w:b w:val="1"/>
                <w:bCs w:val="1"/>
                <w:color w:val="auto"/>
                <w:vertAlign w:val="superscript"/>
              </w:rPr>
              <w:t>AUC</w:t>
            </w:r>
            <w:r>
              <w:rPr>
                <w:rFonts w:ascii="Arial" w:cs="Arial" w:eastAsia="Arial" w:hAnsi="Arial"/>
                <w:sz w:val="11"/>
                <w:szCs w:val="11"/>
                <w:b w:val="1"/>
                <w:bCs w:val="1"/>
                <w:color w:val="auto"/>
              </w:rPr>
              <w:t>0-24</w:t>
            </w:r>
          </w:p>
        </w:tc>
        <w:tc>
          <w:tcPr>
            <w:tcW w:w="11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Mean</w:t>
            </w: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N(Cmax/</w:t>
            </w:r>
          </w:p>
        </w:tc>
        <w:tc>
          <w:tcPr>
            <w:tcW w:w="82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gridSpan w:val="2"/>
          </w:tcPr>
          <w:p>
            <w:pPr>
              <w:jc w:val="right"/>
              <w:ind w:right="95"/>
              <w:spacing w:after="0" w:line="148" w:lineRule="exact"/>
              <w:rPr>
                <w:sz w:val="20"/>
                <w:szCs w:val="20"/>
                <w:color w:val="auto"/>
              </w:rPr>
            </w:pPr>
            <w:r>
              <w:rPr>
                <w:rFonts w:ascii="Arial" w:cs="Arial" w:eastAsia="Arial" w:hAnsi="Arial"/>
                <w:sz w:val="13"/>
                <w:szCs w:val="13"/>
                <w:b w:val="1"/>
                <w:bCs w:val="1"/>
                <w:color w:val="auto"/>
              </w:rPr>
              <w:t>(range)</w:t>
            </w:r>
          </w:p>
        </w:tc>
        <w:tc>
          <w:tcPr>
            <w:tcW w:w="920" w:type="dxa"/>
            <w:vAlign w:val="bottom"/>
            <w:tcBorders>
              <w:bottom w:val="single" w:sz="8" w:color="auto"/>
            </w:tcBorders>
            <w:vMerge w:val="continue"/>
          </w:tcPr>
          <w:p>
            <w:pPr>
              <w:spacing w:after="0"/>
              <w:rPr>
                <w:sz w:val="12"/>
                <w:szCs w:val="12"/>
                <w:color w:val="auto"/>
              </w:rPr>
            </w:pPr>
          </w:p>
        </w:tc>
        <w:tc>
          <w:tcPr>
            <w:tcW w:w="1160" w:type="dxa"/>
            <w:vAlign w:val="bottom"/>
            <w:gridSpan w:val="2"/>
          </w:tcPr>
          <w:p>
            <w:pPr>
              <w:jc w:val="right"/>
              <w:ind w:right="40"/>
              <w:spacing w:after="0" w:line="148" w:lineRule="exact"/>
              <w:rPr>
                <w:sz w:val="20"/>
                <w:szCs w:val="20"/>
                <w:color w:val="auto"/>
              </w:rPr>
            </w:pPr>
            <w:r>
              <w:rPr>
                <w:rFonts w:ascii="Arial" w:cs="Arial" w:eastAsia="Arial" w:hAnsi="Arial"/>
                <w:sz w:val="13"/>
                <w:szCs w:val="13"/>
                <w:b w:val="1"/>
                <w:bCs w:val="1"/>
                <w:color w:val="auto"/>
              </w:rPr>
              <w:t>accumulation</w:t>
            </w:r>
          </w:p>
        </w:tc>
        <w:tc>
          <w:tcPr>
            <w:tcW w:w="0" w:type="dxa"/>
            <w:vAlign w:val="bottom"/>
          </w:tcPr>
          <w:p>
            <w:pPr>
              <w:spacing w:after="0"/>
              <w:rPr>
                <w:sz w:val="1"/>
                <w:szCs w:val="1"/>
                <w:color w:val="auto"/>
              </w:rPr>
            </w:pPr>
          </w:p>
        </w:tc>
      </w:tr>
      <w:tr>
        <w:trPr>
          <w:trHeight w:val="143"/>
        </w:trPr>
        <w:tc>
          <w:tcPr>
            <w:tcW w:w="272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b w:val="1"/>
                <w:bCs w:val="1"/>
                <w:color w:val="auto"/>
              </w:rPr>
              <w:t>Study</w:t>
            </w: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RMC-4630</w:t>
            </w:r>
          </w:p>
        </w:tc>
        <w:tc>
          <w:tcPr>
            <w:tcW w:w="940" w:type="dxa"/>
            <w:vAlign w:val="bottom"/>
            <w:tcBorders>
              <w:bottom w:val="single" w:sz="8" w:color="auto"/>
            </w:tcBorders>
          </w:tcPr>
          <w:p>
            <w:pPr>
              <w:ind w:left="120"/>
              <w:spacing w:after="0" w:line="143" w:lineRule="exact"/>
              <w:rPr>
                <w:sz w:val="20"/>
                <w:szCs w:val="20"/>
                <w:color w:val="auto"/>
              </w:rPr>
            </w:pPr>
            <w:r>
              <w:rPr>
                <w:rFonts w:ascii="Arial" w:cs="Arial" w:eastAsia="Arial" w:hAnsi="Arial"/>
                <w:sz w:val="13"/>
                <w:szCs w:val="13"/>
                <w:b w:val="1"/>
                <w:bCs w:val="1"/>
                <w:color w:val="auto"/>
              </w:rPr>
              <w:t>Cobimetinib</w:t>
            </w:r>
          </w:p>
        </w:tc>
        <w:tc>
          <w:tcPr>
            <w:tcW w:w="1020" w:type="dxa"/>
            <w:vAlign w:val="bottom"/>
            <w:tcBorders>
              <w:bottom w:val="single" w:sz="8" w:color="auto"/>
            </w:tcBorders>
          </w:tcPr>
          <w:p>
            <w:pPr>
              <w:ind w:left="420"/>
              <w:spacing w:after="0" w:line="143" w:lineRule="exact"/>
              <w:rPr>
                <w:sz w:val="20"/>
                <w:szCs w:val="20"/>
                <w:color w:val="auto"/>
              </w:rPr>
            </w:pPr>
            <w:r>
              <w:rPr>
                <w:rFonts w:ascii="Arial" w:cs="Arial" w:eastAsia="Arial" w:hAnsi="Arial"/>
                <w:sz w:val="13"/>
                <w:szCs w:val="13"/>
                <w:b w:val="1"/>
                <w:bCs w:val="1"/>
                <w:color w:val="auto"/>
              </w:rPr>
              <w:t>Analyte</w:t>
            </w:r>
          </w:p>
        </w:tc>
        <w:tc>
          <w:tcPr>
            <w:tcW w:w="56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Cycle</w:t>
            </w:r>
          </w:p>
        </w:tc>
        <w:tc>
          <w:tcPr>
            <w:tcW w:w="46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3"/>
                <w:szCs w:val="13"/>
                <w:b w:val="1"/>
                <w:bCs w:val="1"/>
                <w:color w:val="auto"/>
              </w:rPr>
              <w:t>Day</w:t>
            </w:r>
          </w:p>
        </w:tc>
        <w:tc>
          <w:tcPr>
            <w:tcW w:w="7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AUC)</w:t>
            </w:r>
          </w:p>
        </w:tc>
        <w:tc>
          <w:tcPr>
            <w:tcW w:w="820" w:type="dxa"/>
            <w:vAlign w:val="bottom"/>
            <w:tcBorders>
              <w:bottom w:val="single" w:sz="8" w:color="auto"/>
            </w:tcBorders>
          </w:tcPr>
          <w:p>
            <w:pPr>
              <w:jc w:val="right"/>
              <w:ind w:right="54"/>
              <w:spacing w:after="0" w:line="143" w:lineRule="exact"/>
              <w:rPr>
                <w:sz w:val="20"/>
                <w:szCs w:val="20"/>
                <w:color w:val="auto"/>
              </w:rPr>
            </w:pPr>
            <w:r>
              <w:rPr>
                <w:rFonts w:ascii="Arial" w:cs="Arial" w:eastAsia="Arial" w:hAnsi="Arial"/>
                <w:sz w:val="13"/>
                <w:szCs w:val="13"/>
                <w:b w:val="1"/>
                <w:bCs w:val="1"/>
                <w:color w:val="auto"/>
              </w:rPr>
              <w:t>µM</w:t>
            </w: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3" w:lineRule="exact"/>
              <w:rPr>
                <w:sz w:val="20"/>
                <w:szCs w:val="20"/>
                <w:color w:val="auto"/>
              </w:rPr>
            </w:pPr>
            <w:r>
              <w:rPr>
                <w:rFonts w:ascii="Arial" w:cs="Arial" w:eastAsia="Arial" w:hAnsi="Arial"/>
                <w:sz w:val="13"/>
                <w:szCs w:val="13"/>
                <w:b w:val="1"/>
                <w:bCs w:val="1"/>
                <w:color w:val="auto"/>
              </w:rPr>
              <w:t>h</w:t>
            </w:r>
          </w:p>
        </w:tc>
        <w:tc>
          <w:tcPr>
            <w:tcW w:w="920" w:type="dxa"/>
            <w:vAlign w:val="bottom"/>
            <w:tcBorders>
              <w:bottom w:val="single" w:sz="8" w:color="auto"/>
            </w:tcBorders>
          </w:tcPr>
          <w:p>
            <w:pPr>
              <w:jc w:val="right"/>
              <w:ind w:right="154"/>
              <w:spacing w:after="0" w:line="143" w:lineRule="exact"/>
              <w:rPr>
                <w:sz w:val="20"/>
                <w:szCs w:val="20"/>
                <w:color w:val="auto"/>
              </w:rPr>
            </w:pPr>
            <w:r>
              <w:rPr>
                <w:rFonts w:ascii="Arial" w:cs="Arial" w:eastAsia="Arial" w:hAnsi="Arial"/>
                <w:sz w:val="13"/>
                <w:szCs w:val="13"/>
                <w:b w:val="1"/>
                <w:bCs w:val="1"/>
                <w:color w:val="auto"/>
              </w:rPr>
              <w:t>µM*h</w:t>
            </w:r>
          </w:p>
        </w:tc>
        <w:tc>
          <w:tcPr>
            <w:tcW w:w="1160" w:type="dxa"/>
            <w:vAlign w:val="bottom"/>
            <w:tcBorders>
              <w:bottom w:val="single" w:sz="8" w:color="auto"/>
            </w:tcBorders>
            <w:gridSpan w:val="2"/>
          </w:tcPr>
          <w:p>
            <w:pPr>
              <w:jc w:val="right"/>
              <w:ind w:right="40"/>
              <w:spacing w:after="0" w:line="143" w:lineRule="exact"/>
              <w:rPr>
                <w:sz w:val="20"/>
                <w:szCs w:val="20"/>
                <w:color w:val="auto"/>
              </w:rPr>
            </w:pPr>
            <w:r>
              <w:rPr>
                <w:rFonts w:ascii="Arial" w:cs="Arial" w:eastAsia="Arial" w:hAnsi="Arial"/>
                <w:sz w:val="13"/>
                <w:szCs w:val="13"/>
                <w:b w:val="1"/>
                <w:bCs w:val="1"/>
                <w:color w:val="auto"/>
              </w:rPr>
              <w:t>(AUC Ratio)</w:t>
            </w:r>
          </w:p>
        </w:tc>
        <w:tc>
          <w:tcPr>
            <w:tcW w:w="0" w:type="dxa"/>
            <w:vAlign w:val="bottom"/>
          </w:tcPr>
          <w:p>
            <w:pPr>
              <w:spacing w:after="0"/>
              <w:rPr>
                <w:sz w:val="1"/>
                <w:szCs w:val="1"/>
                <w:color w:val="auto"/>
              </w:rPr>
            </w:pPr>
          </w:p>
        </w:tc>
      </w:tr>
      <w:tr>
        <w:trPr>
          <w:trHeight w:val="141"/>
        </w:trPr>
        <w:tc>
          <w:tcPr>
            <w:tcW w:w="27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RMC-4630-02</w:t>
            </w:r>
          </w:p>
        </w:tc>
        <w:tc>
          <w:tcPr>
            <w:tcW w:w="920" w:type="dxa"/>
            <w:vAlign w:val="bottom"/>
            <w:gridSpan w:val="2"/>
            <w:shd w:val="clear" w:color="auto" w:fill="CCEEFF"/>
          </w:tcPr>
          <w:p>
            <w:pPr>
              <w:jc w:val="right"/>
              <w:ind w:right="213"/>
              <w:spacing w:after="0" w:line="141" w:lineRule="exact"/>
              <w:rPr>
                <w:sz w:val="20"/>
                <w:szCs w:val="20"/>
                <w:color w:val="auto"/>
              </w:rPr>
            </w:pPr>
            <w:r>
              <w:rPr>
                <w:rFonts w:ascii="Arial" w:cs="Arial" w:eastAsia="Arial" w:hAnsi="Arial"/>
                <w:sz w:val="13"/>
                <w:szCs w:val="13"/>
                <w:color w:val="auto"/>
              </w:rPr>
              <w:t>80</w:t>
            </w:r>
          </w:p>
        </w:tc>
        <w:tc>
          <w:tcPr>
            <w:tcW w:w="940" w:type="dxa"/>
            <w:vAlign w:val="bottom"/>
            <w:shd w:val="clear" w:color="auto" w:fill="CCEEFF"/>
          </w:tcPr>
          <w:p>
            <w:pPr>
              <w:jc w:val="center"/>
              <w:ind w:left="133"/>
              <w:spacing w:after="0" w:line="141" w:lineRule="exact"/>
              <w:rPr>
                <w:sz w:val="20"/>
                <w:szCs w:val="20"/>
                <w:color w:val="auto"/>
              </w:rPr>
            </w:pPr>
            <w:r>
              <w:rPr>
                <w:rFonts w:ascii="Arial" w:cs="Arial" w:eastAsia="Arial" w:hAnsi="Arial"/>
                <w:sz w:val="13"/>
                <w:szCs w:val="13"/>
                <w:color w:val="auto"/>
                <w:w w:val="96"/>
              </w:rPr>
              <w:t>20</w:t>
            </w:r>
          </w:p>
        </w:tc>
        <w:tc>
          <w:tcPr>
            <w:tcW w:w="1020" w:type="dxa"/>
            <w:vAlign w:val="bottom"/>
            <w:shd w:val="clear" w:color="auto" w:fill="CCEEFF"/>
          </w:tcPr>
          <w:p>
            <w:pPr>
              <w:jc w:val="center"/>
              <w:ind w:left="13"/>
              <w:spacing w:after="0" w:line="141" w:lineRule="exact"/>
              <w:rPr>
                <w:sz w:val="20"/>
                <w:szCs w:val="20"/>
                <w:color w:val="auto"/>
              </w:rPr>
            </w:pPr>
            <w:r>
              <w:rPr>
                <w:rFonts w:ascii="Arial" w:cs="Arial" w:eastAsia="Arial" w:hAnsi="Arial"/>
                <w:sz w:val="13"/>
                <w:szCs w:val="13"/>
                <w:color w:val="auto"/>
              </w:rPr>
              <w:t>RMC-4630</w:t>
            </w:r>
          </w:p>
        </w:tc>
        <w:tc>
          <w:tcPr>
            <w:tcW w:w="560" w:type="dxa"/>
            <w:vAlign w:val="bottom"/>
            <w:shd w:val="clear" w:color="auto" w:fill="CCEEFF"/>
          </w:tcPr>
          <w:p>
            <w:pPr>
              <w:jc w:val="right"/>
              <w:ind w:right="113"/>
              <w:spacing w:after="0" w:line="141" w:lineRule="exact"/>
              <w:rPr>
                <w:sz w:val="20"/>
                <w:szCs w:val="20"/>
                <w:color w:val="auto"/>
              </w:rPr>
            </w:pPr>
            <w:r>
              <w:rPr>
                <w:rFonts w:ascii="Arial" w:cs="Arial" w:eastAsia="Arial" w:hAnsi="Arial"/>
                <w:sz w:val="13"/>
                <w:szCs w:val="13"/>
                <w:color w:val="auto"/>
              </w:rPr>
              <w:t>1</w:t>
            </w:r>
          </w:p>
        </w:tc>
        <w:tc>
          <w:tcPr>
            <w:tcW w:w="460" w:type="dxa"/>
            <w:vAlign w:val="bottom"/>
            <w:shd w:val="clear" w:color="auto" w:fill="CCEEFF"/>
          </w:tcPr>
          <w:p>
            <w:pPr>
              <w:jc w:val="right"/>
              <w:ind w:right="33"/>
              <w:spacing w:after="0" w:line="141" w:lineRule="exact"/>
              <w:rPr>
                <w:sz w:val="20"/>
                <w:szCs w:val="20"/>
                <w:color w:val="auto"/>
              </w:rPr>
            </w:pPr>
            <w:r>
              <w:rPr>
                <w:rFonts w:ascii="Arial" w:cs="Arial" w:eastAsia="Arial" w:hAnsi="Arial"/>
                <w:sz w:val="13"/>
                <w:szCs w:val="13"/>
                <w:color w:val="auto"/>
              </w:rPr>
              <w:t>1</w:t>
            </w:r>
          </w:p>
        </w:tc>
        <w:tc>
          <w:tcPr>
            <w:tcW w:w="700" w:type="dxa"/>
            <w:vAlign w:val="bottom"/>
            <w:shd w:val="clear" w:color="auto" w:fill="CCEEFF"/>
          </w:tcPr>
          <w:p>
            <w:pPr>
              <w:jc w:val="right"/>
              <w:ind w:right="113"/>
              <w:spacing w:after="0" w:line="141" w:lineRule="exact"/>
              <w:rPr>
                <w:sz w:val="20"/>
                <w:szCs w:val="20"/>
                <w:color w:val="auto"/>
              </w:rPr>
            </w:pPr>
            <w:r>
              <w:rPr>
                <w:rFonts w:ascii="Arial" w:cs="Arial" w:eastAsia="Arial" w:hAnsi="Arial"/>
                <w:sz w:val="13"/>
                <w:szCs w:val="13"/>
                <w:color w:val="auto"/>
              </w:rPr>
              <w:t>8/8</w:t>
            </w:r>
          </w:p>
        </w:tc>
        <w:tc>
          <w:tcPr>
            <w:tcW w:w="820" w:type="dxa"/>
            <w:vAlign w:val="bottom"/>
            <w:shd w:val="clear" w:color="auto" w:fill="CCEEFF"/>
          </w:tcPr>
          <w:p>
            <w:pPr>
              <w:jc w:val="right"/>
              <w:ind w:right="54"/>
              <w:spacing w:after="0" w:line="141" w:lineRule="exact"/>
              <w:rPr>
                <w:sz w:val="20"/>
                <w:szCs w:val="20"/>
                <w:color w:val="auto"/>
              </w:rPr>
            </w:pPr>
            <w:r>
              <w:rPr>
                <w:rFonts w:ascii="Arial" w:cs="Arial" w:eastAsia="Arial" w:hAnsi="Arial"/>
                <w:sz w:val="13"/>
                <w:szCs w:val="13"/>
                <w:color w:val="auto"/>
              </w:rPr>
              <w:t>0.518 (47)</w:t>
            </w:r>
          </w:p>
        </w:tc>
        <w:tc>
          <w:tcPr>
            <w:tcW w:w="3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w:t>
            </w:r>
          </w:p>
        </w:tc>
        <w:tc>
          <w:tcPr>
            <w:tcW w:w="480" w:type="dxa"/>
            <w:vAlign w:val="bottom"/>
            <w:shd w:val="clear" w:color="auto" w:fill="CCEEFF"/>
          </w:tcPr>
          <w:p>
            <w:pPr>
              <w:jc w:val="right"/>
              <w:ind w:right="95"/>
              <w:spacing w:after="0" w:line="141" w:lineRule="exact"/>
              <w:rPr>
                <w:sz w:val="20"/>
                <w:szCs w:val="20"/>
                <w:color w:val="auto"/>
              </w:rPr>
            </w:pPr>
            <w:r>
              <w:rPr>
                <w:rFonts w:ascii="Arial" w:cs="Arial" w:eastAsia="Arial" w:hAnsi="Arial"/>
                <w:sz w:val="13"/>
                <w:szCs w:val="13"/>
                <w:color w:val="auto"/>
              </w:rPr>
              <w:t>(1-4)</w:t>
            </w:r>
          </w:p>
        </w:tc>
        <w:tc>
          <w:tcPr>
            <w:tcW w:w="920" w:type="dxa"/>
            <w:vAlign w:val="bottom"/>
            <w:shd w:val="clear" w:color="auto" w:fill="CCEEFF"/>
          </w:tcPr>
          <w:p>
            <w:pPr>
              <w:jc w:val="right"/>
              <w:ind w:right="154"/>
              <w:spacing w:after="0" w:line="141" w:lineRule="exact"/>
              <w:rPr>
                <w:sz w:val="20"/>
                <w:szCs w:val="20"/>
                <w:color w:val="auto"/>
              </w:rPr>
            </w:pPr>
            <w:r>
              <w:rPr>
                <w:rFonts w:ascii="Arial" w:cs="Arial" w:eastAsia="Arial" w:hAnsi="Arial"/>
                <w:sz w:val="13"/>
                <w:szCs w:val="13"/>
                <w:color w:val="auto"/>
              </w:rPr>
              <w:t>6.14 (35)</w:t>
            </w: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0.657 (53)</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(1-4)</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10.7 (67)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rPr>
              <w:t>Cobimetinib</w:t>
            </w:r>
          </w:p>
        </w:tc>
        <w:tc>
          <w:tcPr>
            <w:tcW w:w="5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0.126 (71)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(1-4)</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1.55 (85)</w:t>
            </w: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3"/>
                <w:szCs w:val="13"/>
                <w:color w:val="auto"/>
              </w:rPr>
              <w:t>5/5</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rPr>
              <w:t>0.374 (41)</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480" w:type="dxa"/>
            <w:vAlign w:val="bottom"/>
            <w:shd w:val="clear" w:color="auto" w:fill="CCEEFF"/>
          </w:tcPr>
          <w:p>
            <w:pPr>
              <w:jc w:val="right"/>
              <w:ind w:right="95"/>
              <w:spacing w:after="0"/>
              <w:rPr>
                <w:sz w:val="20"/>
                <w:szCs w:val="20"/>
                <w:color w:val="auto"/>
              </w:rPr>
            </w:pPr>
            <w:r>
              <w:rPr>
                <w:rFonts w:ascii="Arial" w:cs="Arial" w:eastAsia="Arial" w:hAnsi="Arial"/>
                <w:sz w:val="13"/>
                <w:szCs w:val="13"/>
                <w:color w:val="auto"/>
              </w:rPr>
              <w:t>(1-8)</w:t>
            </w:r>
          </w:p>
        </w:tc>
        <w:tc>
          <w:tcPr>
            <w:tcW w:w="9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7.09 (51)</w:t>
            </w:r>
          </w:p>
        </w:tc>
        <w:tc>
          <w:tcPr>
            <w:tcW w:w="1120" w:type="dxa"/>
            <w:vAlign w:val="bottom"/>
            <w:shd w:val="clear" w:color="auto" w:fill="CCEEFF"/>
          </w:tcPr>
          <w:p>
            <w:pPr>
              <w:jc w:val="right"/>
              <w:ind w:right="473"/>
              <w:spacing w:after="0"/>
              <w:rPr>
                <w:sz w:val="20"/>
                <w:szCs w:val="20"/>
                <w:color w:val="auto"/>
              </w:rPr>
            </w:pPr>
            <w:r>
              <w:rPr>
                <w:rFonts w:ascii="Arial" w:cs="Arial" w:eastAsia="Arial" w:hAnsi="Arial"/>
                <w:sz w:val="13"/>
                <w:szCs w:val="13"/>
                <w:color w:val="auto"/>
              </w:rPr>
              <w:t>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8" w:lineRule="exact"/>
              <w:rPr>
                <w:sz w:val="20"/>
                <w:szCs w:val="20"/>
                <w:color w:val="auto"/>
              </w:rPr>
            </w:pPr>
            <w:r>
              <w:rPr>
                <w:rFonts w:ascii="Arial" w:cs="Arial" w:eastAsia="Arial" w:hAnsi="Arial"/>
                <w:sz w:val="13"/>
                <w:szCs w:val="13"/>
                <w:color w:val="auto"/>
              </w:rPr>
              <w:t>RMC-4630-01</w:t>
            </w:r>
          </w:p>
        </w:tc>
        <w:tc>
          <w:tcPr>
            <w:tcW w:w="160" w:type="dxa"/>
            <w:vAlign w:val="bottom"/>
          </w:tcPr>
          <w:p>
            <w:pPr>
              <w:spacing w:after="0"/>
              <w:rPr>
                <w:sz w:val="12"/>
                <w:szCs w:val="12"/>
                <w:color w:val="auto"/>
              </w:rPr>
            </w:pPr>
          </w:p>
        </w:tc>
        <w:tc>
          <w:tcPr>
            <w:tcW w:w="760" w:type="dxa"/>
            <w:vAlign w:val="bottom"/>
          </w:tcPr>
          <w:p>
            <w:pPr>
              <w:jc w:val="right"/>
              <w:ind w:right="213"/>
              <w:spacing w:after="0" w:line="148" w:lineRule="exact"/>
              <w:rPr>
                <w:sz w:val="20"/>
                <w:szCs w:val="20"/>
                <w:color w:val="auto"/>
              </w:rPr>
            </w:pPr>
            <w:r>
              <w:rPr>
                <w:rFonts w:ascii="Arial" w:cs="Arial" w:eastAsia="Arial" w:hAnsi="Arial"/>
                <w:sz w:val="13"/>
                <w:szCs w:val="13"/>
                <w:color w:val="auto"/>
              </w:rPr>
              <w:t>80</w:t>
            </w:r>
          </w:p>
        </w:tc>
        <w:tc>
          <w:tcPr>
            <w:tcW w:w="940" w:type="dxa"/>
            <w:vAlign w:val="bottom"/>
          </w:tcPr>
          <w:p>
            <w:pPr>
              <w:jc w:val="center"/>
              <w:ind w:left="133"/>
              <w:spacing w:after="0" w:line="148" w:lineRule="exact"/>
              <w:rPr>
                <w:sz w:val="20"/>
                <w:szCs w:val="20"/>
                <w:color w:val="auto"/>
              </w:rPr>
            </w:pPr>
            <w:r>
              <w:rPr>
                <w:rFonts w:ascii="Arial" w:cs="Arial" w:eastAsia="Arial" w:hAnsi="Arial"/>
                <w:sz w:val="13"/>
                <w:szCs w:val="13"/>
                <w:color w:val="auto"/>
                <w:w w:val="99"/>
              </w:rPr>
              <w:t>NA</w:t>
            </w:r>
          </w:p>
        </w:tc>
        <w:tc>
          <w:tcPr>
            <w:tcW w:w="1020" w:type="dxa"/>
            <w:vAlign w:val="bottom"/>
          </w:tcPr>
          <w:p>
            <w:pPr>
              <w:jc w:val="center"/>
              <w:ind w:left="13"/>
              <w:spacing w:after="0" w:line="148" w:lineRule="exact"/>
              <w:rPr>
                <w:sz w:val="20"/>
                <w:szCs w:val="20"/>
                <w:color w:val="auto"/>
              </w:rPr>
            </w:pPr>
            <w:r>
              <w:rPr>
                <w:rFonts w:ascii="Arial" w:cs="Arial" w:eastAsia="Arial" w:hAnsi="Arial"/>
                <w:sz w:val="13"/>
                <w:szCs w:val="13"/>
                <w:color w:val="auto"/>
              </w:rPr>
              <w:t>RMC-4630</w:t>
            </w:r>
          </w:p>
        </w:tc>
        <w:tc>
          <w:tcPr>
            <w:tcW w:w="560" w:type="dxa"/>
            <w:vAlign w:val="bottom"/>
          </w:tcPr>
          <w:p>
            <w:pPr>
              <w:jc w:val="right"/>
              <w:ind w:right="113"/>
              <w:spacing w:after="0" w:line="148" w:lineRule="exact"/>
              <w:rPr>
                <w:sz w:val="20"/>
                <w:szCs w:val="20"/>
                <w:color w:val="auto"/>
              </w:rPr>
            </w:pPr>
            <w:r>
              <w:rPr>
                <w:rFonts w:ascii="Arial" w:cs="Arial" w:eastAsia="Arial" w:hAnsi="Arial"/>
                <w:sz w:val="13"/>
                <w:szCs w:val="13"/>
                <w:color w:val="auto"/>
              </w:rPr>
              <w:t>1</w:t>
            </w:r>
          </w:p>
        </w:tc>
        <w:tc>
          <w:tcPr>
            <w:tcW w:w="460" w:type="dxa"/>
            <w:vAlign w:val="bottom"/>
          </w:tcPr>
          <w:p>
            <w:pPr>
              <w:jc w:val="right"/>
              <w:ind w:right="33"/>
              <w:spacing w:after="0" w:line="148" w:lineRule="exact"/>
              <w:rPr>
                <w:sz w:val="20"/>
                <w:szCs w:val="20"/>
                <w:color w:val="auto"/>
              </w:rPr>
            </w:pPr>
            <w:r>
              <w:rPr>
                <w:rFonts w:ascii="Arial" w:cs="Arial" w:eastAsia="Arial" w:hAnsi="Arial"/>
                <w:sz w:val="13"/>
                <w:szCs w:val="13"/>
                <w:color w:val="auto"/>
              </w:rPr>
              <w:t>1</w:t>
            </w:r>
          </w:p>
        </w:tc>
        <w:tc>
          <w:tcPr>
            <w:tcW w:w="700" w:type="dxa"/>
            <w:vAlign w:val="bottom"/>
          </w:tcPr>
          <w:p>
            <w:pPr>
              <w:jc w:val="right"/>
              <w:ind w:right="113"/>
              <w:spacing w:after="0" w:line="148" w:lineRule="exact"/>
              <w:rPr>
                <w:sz w:val="20"/>
                <w:szCs w:val="20"/>
                <w:color w:val="auto"/>
              </w:rPr>
            </w:pPr>
            <w:r>
              <w:rPr>
                <w:rFonts w:ascii="Arial" w:cs="Arial" w:eastAsia="Arial" w:hAnsi="Arial"/>
                <w:sz w:val="13"/>
                <w:szCs w:val="13"/>
                <w:color w:val="auto"/>
              </w:rPr>
              <w:t>6/6</w:t>
            </w:r>
          </w:p>
        </w:tc>
        <w:tc>
          <w:tcPr>
            <w:tcW w:w="820" w:type="dxa"/>
            <w:vAlign w:val="bottom"/>
          </w:tcPr>
          <w:p>
            <w:pPr>
              <w:jc w:val="right"/>
              <w:ind w:right="54"/>
              <w:spacing w:after="0" w:line="148" w:lineRule="exact"/>
              <w:rPr>
                <w:sz w:val="20"/>
                <w:szCs w:val="20"/>
                <w:color w:val="auto"/>
              </w:rPr>
            </w:pPr>
            <w:r>
              <w:rPr>
                <w:rFonts w:ascii="Arial" w:cs="Arial" w:eastAsia="Arial" w:hAnsi="Arial"/>
                <w:sz w:val="13"/>
                <w:szCs w:val="13"/>
                <w:color w:val="auto"/>
              </w:rPr>
              <w:t>0.472 (84)</w:t>
            </w:r>
          </w:p>
        </w:tc>
        <w:tc>
          <w:tcPr>
            <w:tcW w:w="320" w:type="dxa"/>
            <w:vAlign w:val="bottom"/>
          </w:tcPr>
          <w:p>
            <w:pPr>
              <w:jc w:val="right"/>
              <w:spacing w:after="0" w:line="148" w:lineRule="exact"/>
              <w:rPr>
                <w:sz w:val="20"/>
                <w:szCs w:val="20"/>
                <w:color w:val="auto"/>
              </w:rPr>
            </w:pPr>
            <w:r>
              <w:rPr>
                <w:rFonts w:ascii="Arial" w:cs="Arial" w:eastAsia="Arial" w:hAnsi="Arial"/>
                <w:sz w:val="13"/>
                <w:szCs w:val="13"/>
                <w:color w:val="auto"/>
              </w:rPr>
              <w:t>3</w:t>
            </w:r>
          </w:p>
        </w:tc>
        <w:tc>
          <w:tcPr>
            <w:tcW w:w="480" w:type="dxa"/>
            <w:vAlign w:val="bottom"/>
          </w:tcPr>
          <w:p>
            <w:pPr>
              <w:jc w:val="right"/>
              <w:ind w:right="95"/>
              <w:spacing w:after="0" w:line="148" w:lineRule="exact"/>
              <w:rPr>
                <w:sz w:val="20"/>
                <w:szCs w:val="20"/>
                <w:color w:val="auto"/>
              </w:rPr>
            </w:pPr>
            <w:r>
              <w:rPr>
                <w:rFonts w:ascii="Arial" w:cs="Arial" w:eastAsia="Arial" w:hAnsi="Arial"/>
                <w:sz w:val="13"/>
                <w:szCs w:val="13"/>
                <w:color w:val="auto"/>
              </w:rPr>
              <w:t>(1-4)</w:t>
            </w:r>
          </w:p>
        </w:tc>
        <w:tc>
          <w:tcPr>
            <w:tcW w:w="920" w:type="dxa"/>
            <w:vAlign w:val="bottom"/>
          </w:tcPr>
          <w:p>
            <w:pPr>
              <w:jc w:val="right"/>
              <w:ind w:right="154"/>
              <w:spacing w:after="0" w:line="148" w:lineRule="exact"/>
              <w:rPr>
                <w:sz w:val="20"/>
                <w:szCs w:val="20"/>
                <w:color w:val="auto"/>
              </w:rPr>
            </w:pPr>
            <w:r>
              <w:rPr>
                <w:rFonts w:ascii="Arial" w:cs="Arial" w:eastAsia="Arial" w:hAnsi="Arial"/>
                <w:sz w:val="13"/>
                <w:szCs w:val="13"/>
                <w:color w:val="auto"/>
              </w:rPr>
              <w:t>6.03 (56)</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22</w:t>
            </w: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2/2</w:t>
            </w: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0.844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color w:val="auto"/>
              </w:rPr>
              <w:t>(2-4)</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13.9</w:t>
            </w:r>
          </w:p>
        </w:tc>
        <w:tc>
          <w:tcPr>
            <w:tcW w:w="11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November 1, 2019.</w:t>
      </w:r>
    </w:p>
    <w:p>
      <w:pPr>
        <w:spacing w:after="0" w:line="81"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13"/>
          <w:szCs w:val="13"/>
          <w:color w:val="auto"/>
        </w:rPr>
        <w:t>Number</w:t>
        <w:tab/>
        <w:t>of patients evaluated for parameters Cmax and AUC are shown in N(Cmax/AUC) column.</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15</w:t>
      </w:r>
      <w:r>
        <w:rPr>
          <w:rFonts w:ascii="Arial" w:cs="Arial" w:eastAsia="Arial" w:hAnsi="Arial"/>
          <w:sz w:val="18"/>
          <w:szCs w:val="18"/>
          <w:color w:val="auto"/>
        </w:rPr>
        <w:t>b RMC-4630 pharmacokinetics in RMC-4630-02 study.</w:t>
      </w:r>
    </w:p>
    <w:p>
      <w:pPr>
        <w:spacing w:after="0" w:line="100" w:lineRule="exact"/>
        <w:rPr>
          <w:sz w:val="20"/>
          <w:szCs w:val="20"/>
          <w:color w:val="auto"/>
        </w:rPr>
      </w:pPr>
    </w:p>
    <w:p>
      <w:pPr>
        <w:ind w:left="2240"/>
        <w:spacing w:after="0"/>
        <w:tabs>
          <w:tab w:leader="none" w:pos="7300" w:val="left"/>
        </w:tabs>
        <w:rPr>
          <w:sz w:val="20"/>
          <w:szCs w:val="20"/>
          <w:color w:val="auto"/>
        </w:rPr>
      </w:pPr>
      <w:r>
        <w:rPr>
          <w:rFonts w:ascii="Arial" w:cs="Arial" w:eastAsia="Arial" w:hAnsi="Arial"/>
          <w:sz w:val="32"/>
          <w:szCs w:val="32"/>
          <w:b w:val="1"/>
          <w:bCs w:val="1"/>
          <w:color w:val="auto"/>
        </w:rPr>
        <w:t>PK C1D1</w:t>
      </w:r>
      <w:r>
        <w:rPr>
          <w:sz w:val="20"/>
          <w:szCs w:val="20"/>
          <w:color w:val="auto"/>
        </w:rPr>
        <w:tab/>
      </w:r>
      <w:r>
        <w:rPr>
          <w:rFonts w:ascii="Arial" w:cs="Arial" w:eastAsia="Arial" w:hAnsi="Arial"/>
          <w:sz w:val="32"/>
          <w:szCs w:val="32"/>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97790</wp:posOffset>
            </wp:positionV>
            <wp:extent cx="5854700" cy="17487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5470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Data as of November 1, 2019.</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activity</w:t>
      </w:r>
    </w:p>
    <w:p>
      <w:pPr>
        <w:spacing w:after="0" w:line="122"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Only two patients have been evaluated for efficacy in this study. No efficacy data or ctDNA data were available in the electronic database as of the cut-off date.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Ongoing and planned clinical studies with RMC-4630</w:t>
      </w:r>
    </w:p>
    <w:p>
      <w:pPr>
        <w:spacing w:after="0" w:line="124"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8"/>
          <w:szCs w:val="18"/>
          <w:color w:val="auto"/>
        </w:rPr>
        <w:t>The RMC-4630-01 Phase 1 study is continuing to enroll patients to determine the maximum tolerated dose and recommended Phase 2 dose for the intermittent dosing schedule. Alternative intermittent schedules are being explored as part of the RMC-4630-01 study and these data may be translated to ongoing combination studies or future studies.</w:t>
      </w:r>
    </w:p>
    <w:p>
      <w:pPr>
        <w:spacing w:after="0" w:line="100" w:lineRule="exact"/>
        <w:rPr>
          <w:sz w:val="20"/>
          <w:szCs w:val="20"/>
          <w:color w:val="auto"/>
        </w:rPr>
      </w:pPr>
    </w:p>
    <w:p>
      <w:pPr>
        <w:ind w:left="120" w:right="800"/>
        <w:spacing w:after="0" w:line="239" w:lineRule="auto"/>
        <w:rPr>
          <w:sz w:val="20"/>
          <w:szCs w:val="20"/>
          <w:color w:val="auto"/>
        </w:rPr>
      </w:pPr>
      <w:r>
        <w:rPr>
          <w:rFonts w:ascii="Arial" w:cs="Arial" w:eastAsia="Arial" w:hAnsi="Arial"/>
          <w:sz w:val="18"/>
          <w:szCs w:val="18"/>
          <w:color w:val="auto"/>
        </w:rPr>
        <w:t>The RMC-4630-02 study, evaluating intermittent dosing of RMC-4630 in combination with cobimetinib, has been activated and dose escalation is ongoing.</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An arm in Amgen’s CodeBreaK 101 study, evaluating RMC-4630 in combination with its investigational agent sotorasib, was recently initiated by Amgen.</w:t>
      </w:r>
    </w:p>
    <w:p>
      <w:pPr>
        <w:spacing w:after="0" w:line="10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Sanofi, our SHP2 collaboration partner, is sponsoring the RMC-4630 with PD-1 inhibitor combination study. In collaboration with others, during 2020, we intend to start dosing patients in Phase 1b studies evaluating the combination of RMC-4630 with the EGFR inhibitor osimertinib, and with a PD-1 inhibitor (Figure 16).</w:t>
      </w:r>
    </w:p>
    <w:p>
      <w:pPr>
        <w:spacing w:after="0" w:line="100"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In March 2020, the Pancreatic Cancer Collective (a strategic partnership between Lustgarten Foundation and Stand Up To Cancer) announced that it had awarded funding to the Netherlands Cancer Institute, or the NKI, for its study using our SHP2 inhibitor, RMC-4630 in combination with an investigational ERK inhibitor (LY3214996) in patients with pancreatic cancer. We plan to provide RMC-4630 to support this investigator sponsored study.</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86360</wp:posOffset>
            </wp:positionV>
            <wp:extent cx="4791710" cy="26403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9171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RAS(ON) portfolio</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 xml:space="preserve">We are also developing a portfolio of what we believe to be the first potent, selective and cell-active inhibitors of mutant RAS(ON) proteins. These inhibitors have also exhibited anti-tumor activity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preclinical models. We believe that direct inhibitors of RAS(ON) will suppress cell growth and survival as well as be less susceptible to adaptive resistance mechanisms recognized for RAS(OFF) inhibitors.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Challenges and limitations of current approaches for RAS mutant cancers</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11"/>
          <w:szCs w:val="11"/>
          <w:color w:val="auto"/>
        </w:rPr>
        <w:t>G12C</w:t>
      </w:r>
      <w:r>
        <w:rPr>
          <w:rFonts w:ascii="Arial" w:cs="Arial" w:eastAsia="Arial" w:hAnsi="Arial"/>
          <w:sz w:val="18"/>
          <w:szCs w:val="18"/>
          <w:color w:val="auto"/>
        </w:rPr>
        <w:t xml:space="preserve"> are being developed by several companies.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 any RAS(ON) protein. In tumor cells addicted to RAS(ON), we believe that selective inhibitors of RAS(ON) will suppress cell growth and survival and be less susceptible to adaptive resistance mechanisms recognized for RAS(OFF) inhibitors.</w:t>
      </w:r>
    </w:p>
    <w:p>
      <w:pPr>
        <w:spacing w:after="0" w:line="10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key drug discovery challenge for any known RAS(ON) protein is the absence of a tractable drug binding site on these RAS(ON) proteins, including different RAS isoforms and mutants. One molecular site of particular focus 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 sterically occludes the target protein and prevents interaction with affiliated proteins required for propagating oncogenic signals.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80"/>
        <w:spacing w:after="0" w:line="264" w:lineRule="auto"/>
        <w:rPr>
          <w:sz w:val="20"/>
          <w:szCs w:val="20"/>
          <w:color w:val="auto"/>
        </w:rPr>
      </w:pPr>
      <w:r>
        <w:rPr>
          <w:rFonts w:ascii="Arial" w:cs="Arial" w:eastAsia="Arial" w:hAnsi="Arial"/>
          <w:sz w:val="18"/>
          <w:szCs w:val="18"/>
          <w:b w:val="1"/>
          <w:bCs w:val="1"/>
          <w:color w:val="auto"/>
        </w:rPr>
        <w:t>Figure 17</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inhibitor RM-009 drives formation of a tri-complex binding to an induced pocket at the interface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(ON) and cyclophilin A.</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auto"/>
              </w:rPr>
              <w:t>(a)</w:t>
            </w:r>
          </w:p>
        </w:tc>
        <w:tc>
          <w:tcPr>
            <w:tcW w:w="4980" w:type="dxa"/>
            <w:vAlign w:val="bottom"/>
          </w:tcPr>
          <w:p>
            <w:pPr>
              <w:ind w:left="188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Highly selective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oncogenic</w:t>
            </w:r>
          </w:p>
        </w:tc>
        <w:tc>
          <w:tcPr>
            <w:tcW w:w="500" w:type="dxa"/>
            <w:vAlign w:val="bottom"/>
          </w:tcPr>
          <w:p>
            <w:pPr>
              <w:ind w:left="300"/>
              <w:spacing w:after="0"/>
              <w:rPr>
                <w:sz w:val="20"/>
                <w:szCs w:val="20"/>
                <w:color w:val="auto"/>
              </w:rPr>
            </w:pPr>
            <w:r>
              <w:rPr>
                <w:rFonts w:ascii="Arial" w:cs="Arial" w:eastAsia="Arial" w:hAnsi="Arial"/>
                <w:sz w:val="18"/>
                <w:szCs w:val="18"/>
                <w:color w:val="auto"/>
                <w:w w:val="85"/>
              </w:rPr>
              <w:t>(c)</w:t>
            </w:r>
          </w:p>
        </w:tc>
      </w:tr>
      <w:tr>
        <w:trPr>
          <w:trHeight w:val="233"/>
        </w:trPr>
        <w:tc>
          <w:tcPr>
            <w:tcW w:w="2100" w:type="dxa"/>
            <w:vAlign w:val="bottom"/>
          </w:tcPr>
          <w:p>
            <w:pPr>
              <w:spacing w:after="0"/>
              <w:rPr>
                <w:sz w:val="20"/>
                <w:szCs w:val="20"/>
                <w:color w:val="auto"/>
              </w:rPr>
            </w:pPr>
          </w:p>
        </w:tc>
        <w:tc>
          <w:tcPr>
            <w:tcW w:w="4980" w:type="dxa"/>
            <w:vAlign w:val="bottom"/>
          </w:tcPr>
          <w:p>
            <w:pPr>
              <w:ind w:left="2320"/>
              <w:spacing w:after="0"/>
              <w:rPr>
                <w:sz w:val="20"/>
                <w:szCs w:val="20"/>
                <w:color w:val="auto"/>
              </w:rPr>
            </w:pPr>
            <w:r>
              <w:rPr>
                <w:rFonts w:ascii="Arial" w:cs="Arial" w:eastAsia="Arial" w:hAnsi="Arial"/>
                <w:sz w:val="18"/>
                <w:szCs w:val="18"/>
                <w:b w:val="1"/>
                <w:bCs w:val="1"/>
                <w:color w:val="auto"/>
              </w:rPr>
              <w:t xml:space="preserve">GTP-bound </w:t>
            </w:r>
            <w:r>
              <w:rPr>
                <w:rFonts w:ascii="Arial" w:cs="Arial" w:eastAsia="Arial" w:hAnsi="Arial"/>
                <w:sz w:val="18"/>
                <w:szCs w:val="18"/>
                <w:color w:val="auto"/>
              </w:rPr>
              <w:t>form of KRAS</w:t>
            </w:r>
            <w:r>
              <w:rPr>
                <w:rFonts w:ascii="Arial" w:cs="Arial" w:eastAsia="Arial" w:hAnsi="Arial"/>
                <w:sz w:val="11"/>
                <w:szCs w:val="11"/>
                <w:color w:val="auto"/>
              </w:rPr>
              <w:t>G12C</w:t>
            </w: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43815</wp:posOffset>
            </wp:positionV>
            <wp:extent cx="5066030" cy="3103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603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Surface representation of atomic resolution crystal structures of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(loaded with a non-hydrolysable analog of GTP in grey, gamma phosphate shown in yellow)</w:t>
      </w:r>
    </w:p>
    <w:p>
      <w:pPr>
        <w:ind w:left="120"/>
        <w:spacing w:after="0" w:line="182" w:lineRule="auto"/>
        <w:rPr>
          <w:sz w:val="20"/>
          <w:szCs w:val="20"/>
          <w:color w:val="auto"/>
        </w:rPr>
      </w:pPr>
      <w:r>
        <w:rPr>
          <w:rFonts w:ascii="Arial" w:cs="Arial" w:eastAsia="Arial" w:hAnsi="Arial"/>
          <w:sz w:val="11"/>
          <w:szCs w:val="11"/>
          <w:color w:val="auto"/>
        </w:rPr>
        <w:t>(KRAS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(ON), green) and a binary complex of RM-009 (ochre) and cyclophilin A (brown) </w:t>
      </w:r>
      <w:r>
        <w:rPr>
          <w:rFonts w:ascii="Arial" w:cs="Arial" w:eastAsia="Arial" w:hAnsi="Arial"/>
          <w:sz w:val="11"/>
          <w:szCs w:val="11"/>
          <w:b w:val="1"/>
          <w:bCs w:val="1"/>
          <w:color w:val="auto"/>
        </w:rPr>
        <w:t>(a)</w:t>
      </w:r>
      <w:r>
        <w:rPr>
          <w:rFonts w:ascii="Arial" w:cs="Arial" w:eastAsia="Arial" w:hAnsi="Arial"/>
          <w:sz w:val="11"/>
          <w:szCs w:val="11"/>
          <w:color w:val="auto"/>
        </w:rPr>
        <w:t>. The shallow, solvent-exposed groove, or “valley,” between the switch I (blue) and switch</w:t>
      </w:r>
    </w:p>
    <w:p>
      <w:pPr>
        <w:ind w:left="120" w:right="100" w:hanging="4"/>
        <w:spacing w:after="0" w:line="197" w:lineRule="auto"/>
        <w:tabs>
          <w:tab w:leader="none" w:pos="233" w:val="left"/>
        </w:tabs>
        <w:numPr>
          <w:ilvl w:val="0"/>
          <w:numId w:val="71"/>
        </w:numPr>
        <w:rPr>
          <w:rFonts w:ascii="Arial" w:cs="Arial" w:eastAsia="Arial" w:hAnsi="Arial"/>
          <w:sz w:val="13"/>
          <w:szCs w:val="13"/>
          <w:color w:val="auto"/>
        </w:rPr>
      </w:pPr>
      <w:r>
        <w:rPr>
          <w:rFonts w:ascii="Arial" w:cs="Arial" w:eastAsia="Arial" w:hAnsi="Arial"/>
          <w:sz w:val="13"/>
          <w:szCs w:val="13"/>
          <w:color w:val="auto"/>
        </w:rPr>
        <w:t>(red) regions of KRAS is highlighted. The cyclophilin A-RM-009 binary complex binds to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(ON) to form a tri-complex </w:t>
      </w:r>
      <w:r>
        <w:rPr>
          <w:rFonts w:ascii="Arial" w:cs="Arial" w:eastAsia="Arial" w:hAnsi="Arial"/>
          <w:sz w:val="13"/>
          <w:szCs w:val="13"/>
          <w:b w:val="1"/>
          <w:bCs w:val="1"/>
          <w:color w:val="auto"/>
        </w:rPr>
        <w:t>(b)</w:t>
      </w:r>
      <w:r>
        <w:rPr>
          <w:rFonts w:ascii="Arial" w:cs="Arial" w:eastAsia="Arial" w:hAnsi="Arial"/>
          <w:sz w:val="13"/>
          <w:szCs w:val="13"/>
          <w:color w:val="auto"/>
        </w:rPr>
        <w:t xml:space="preserve"> with RM-009 bound in an induced binding pocket at the interface between the two proteins, visible following digital removal of the ligand </w:t>
      </w:r>
      <w:r>
        <w:rPr>
          <w:rFonts w:ascii="Arial" w:cs="Arial" w:eastAsia="Arial" w:hAnsi="Arial"/>
          <w:sz w:val="13"/>
          <w:szCs w:val="13"/>
          <w:b w:val="1"/>
          <w:bCs w:val="1"/>
          <w:color w:val="auto"/>
        </w:rPr>
        <w:t>(c)</w:t>
      </w:r>
      <w:r>
        <w:rPr>
          <w:rFonts w:ascii="Arial" w:cs="Arial" w:eastAsia="Arial" w:hAnsi="Arial"/>
          <w:sz w:val="13"/>
          <w:szCs w:val="13"/>
          <w:color w:val="auto"/>
        </w:rPr>
        <w:t>.</w:t>
      </w:r>
    </w:p>
    <w:p>
      <w:pPr>
        <w:spacing w:after="0" w:line="9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 sandwiched in an induced binding pocket at the interface between the two proteins. This tri-complex is held together by chemical interactions between cyclophilin A and the respective RAS(ON) mutant and between the compound and each of the two proteins. In some instances, including in the case of cysteine-containing RAS mutants, our RAS(ON) inhibitors can form a covalent bond with RAS. We use our structure-based drug discovery capabilities to drive rational design and optimization of tri-complex inhibitors of RAS(ON).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RAS(ON) inhibitor programs</w:t>
      </w:r>
    </w:p>
    <w:p>
      <w:pPr>
        <w:spacing w:after="0" w:line="12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We are initially prioritizing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 We believe our tri-complex RAS inhibitors can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 (3) prevent the binding of RAS to a recognized allosteric site of SOS1, thereby blocking a positive feedback loop that amplifies conversion of RAS(OFF) to RAS(ON). The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8"/>
          <w:szCs w:val="18"/>
          <w:color w:val="auto"/>
        </w:rPr>
        <w:t xml:space="preserve">first two effects represent direct suppression of oncogenic RAS signaling. The third effect may attenuate the ability of RAS(ON) to increase GTP-bound levels of other </w:t>
      </w:r>
      <w:r>
        <w:rPr>
          <w:rFonts w:ascii="Arial" w:cs="Arial" w:eastAsia="Arial" w:hAnsi="Arial"/>
          <w:sz w:val="18"/>
          <w:szCs w:val="18"/>
          <w:i w:val="1"/>
          <w:iCs w:val="1"/>
          <w:color w:val="auto"/>
        </w:rPr>
        <w:t>non-mutant</w:t>
      </w:r>
      <w:r>
        <w:rPr>
          <w:rFonts w:ascii="Arial" w:cs="Arial" w:eastAsia="Arial" w:hAnsi="Arial"/>
          <w:sz w:val="18"/>
          <w:szCs w:val="18"/>
          <w:color w:val="auto"/>
        </w:rPr>
        <w:t xml:space="preserve"> forms, i.e. wild-type, of RAS in the same cancer cells that may contribute to overall cell survival and proliferation.</w:t>
      </w:r>
    </w:p>
    <w:p>
      <w:pPr>
        <w:spacing w:after="0" w:line="78" w:lineRule="exact"/>
        <w:rPr>
          <w:sz w:val="20"/>
          <w:szCs w:val="20"/>
          <w:color w:val="auto"/>
        </w:rPr>
      </w:pPr>
    </w:p>
    <w:p>
      <w:pPr>
        <w:ind w:left="120" w:right="140"/>
        <w:spacing w:after="0" w:line="264" w:lineRule="auto"/>
        <w:rPr>
          <w:sz w:val="20"/>
          <w:szCs w:val="20"/>
          <w:color w:val="auto"/>
        </w:rPr>
      </w:pPr>
      <w:r>
        <w:rPr>
          <w:rFonts w:ascii="Arial" w:cs="Arial" w:eastAsia="Arial" w:hAnsi="Arial"/>
          <w:sz w:val="18"/>
          <w:szCs w:val="18"/>
          <w:b w:val="1"/>
          <w:bCs w:val="1"/>
          <w:color w:val="auto"/>
        </w:rPr>
        <w:t>Figure 18</w:t>
      </w:r>
      <w:r>
        <w:rPr>
          <w:rFonts w:ascii="Arial" w:cs="Arial" w:eastAsia="Arial" w:hAnsi="Arial"/>
          <w:sz w:val="18"/>
          <w:szCs w:val="18"/>
          <w:color w:val="auto"/>
        </w:rPr>
        <w:t>: Layered structural models illustrating potential for tri-complex KRAS</w:t>
      </w:r>
      <w:r>
        <w:rPr>
          <w:rFonts w:ascii="Arial" w:cs="Arial" w:eastAsia="Arial" w:hAnsi="Arial"/>
          <w:sz w:val="11"/>
          <w:szCs w:val="11"/>
          <w:color w:val="auto"/>
        </w:rPr>
        <w:t>G12C</w:t>
      </w:r>
      <w:r>
        <w:rPr>
          <w:rFonts w:ascii="Arial" w:cs="Arial" w:eastAsia="Arial" w:hAnsi="Arial"/>
          <w:sz w:val="18"/>
          <w:szCs w:val="18"/>
          <w:color w:val="auto"/>
        </w:rPr>
        <w:t>(ON) inhibitors to sterically preclude engagement of RAF,</w:t>
      </w:r>
      <w:r>
        <w:rPr>
          <w:rFonts w:ascii="Arial" w:cs="Arial" w:eastAsia="Arial" w:hAnsi="Arial"/>
          <w:sz w:val="18"/>
          <w:szCs w:val="18"/>
          <w:b w:val="1"/>
          <w:bCs w:val="1"/>
          <w:color w:val="auto"/>
        </w:rPr>
        <w:t xml:space="preserve"> </w:t>
      </w:r>
      <w:r>
        <w:rPr>
          <w:rFonts w:ascii="Arial" w:cs="Arial" w:eastAsia="Arial" w:hAnsi="Arial"/>
          <w:sz w:val="18"/>
          <w:szCs w:val="18"/>
          <w:color w:val="auto"/>
        </w:rPr>
        <w:t>PI3K and SOS1 by KRAS</w:t>
      </w:r>
      <w:r>
        <w:rPr>
          <w:rFonts w:ascii="Arial" w:cs="Arial" w:eastAsia="Arial" w:hAnsi="Arial"/>
          <w:sz w:val="11"/>
          <w:szCs w:val="11"/>
          <w:color w:val="auto"/>
        </w:rPr>
        <w:t>G12C</w:t>
      </w:r>
      <w:r>
        <w:rPr>
          <w:rFonts w:ascii="Arial" w:cs="Arial" w:eastAsia="Arial" w:hAnsi="Arial"/>
          <w:sz w:val="18"/>
          <w:szCs w:val="18"/>
          <w:color w:val="auto"/>
        </w:rPr>
        <w:t>(ON).</w:t>
      </w:r>
    </w:p>
    <w:p>
      <w:pPr>
        <w:spacing w:after="0" w:line="71" w:lineRule="exact"/>
        <w:rPr>
          <w:sz w:val="20"/>
          <w:szCs w:val="20"/>
          <w:color w:val="auto"/>
        </w:rPr>
      </w:pPr>
    </w:p>
    <w:p>
      <w:pPr>
        <w:ind w:left="120"/>
        <w:spacing w:after="0"/>
        <w:tabs>
          <w:tab w:leader="none" w:pos="3980" w:val="left"/>
          <w:tab w:leader="none" w:pos="77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86360</wp:posOffset>
            </wp:positionV>
            <wp:extent cx="5023485" cy="20148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2348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180"/>
        <w:spacing w:after="0" w:line="197" w:lineRule="auto"/>
        <w:rPr>
          <w:sz w:val="20"/>
          <w:szCs w:val="20"/>
          <w:color w:val="auto"/>
        </w:rPr>
      </w:pPr>
      <w:r>
        <w:rPr>
          <w:rFonts w:ascii="Arial" w:cs="Arial" w:eastAsia="Arial" w:hAnsi="Arial"/>
          <w:sz w:val="13"/>
          <w:szCs w:val="13"/>
          <w:color w:val="auto"/>
        </w:rPr>
        <w:t>Surface representation of atomic resolution crystal structures of tri-complex of RM-009 with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(ON) with structural overlays showing (in grey) interaction with </w:t>
      </w:r>
      <w:r>
        <w:rPr>
          <w:rFonts w:ascii="Arial" w:cs="Arial" w:eastAsia="Arial" w:hAnsi="Arial"/>
          <w:sz w:val="13"/>
          <w:szCs w:val="13"/>
          <w:b w:val="1"/>
          <w:bCs w:val="1"/>
          <w:color w:val="auto"/>
        </w:rPr>
        <w:t>(a)</w:t>
      </w:r>
      <w:r>
        <w:rPr>
          <w:rFonts w:ascii="Arial" w:cs="Arial" w:eastAsia="Arial" w:hAnsi="Arial"/>
          <w:sz w:val="13"/>
          <w:szCs w:val="13"/>
          <w:color w:val="auto"/>
        </w:rPr>
        <w:t xml:space="preserve"> RAS binding domain (RBD) of BRAF, </w:t>
      </w:r>
      <w:r>
        <w:rPr>
          <w:rFonts w:ascii="Arial" w:cs="Arial" w:eastAsia="Arial" w:hAnsi="Arial"/>
          <w:sz w:val="13"/>
          <w:szCs w:val="13"/>
          <w:b w:val="1"/>
          <w:bCs w:val="1"/>
          <w:color w:val="auto"/>
        </w:rPr>
        <w:t>(b)</w:t>
      </w:r>
      <w:r>
        <w:rPr>
          <w:rFonts w:ascii="Arial" w:cs="Arial" w:eastAsia="Arial" w:hAnsi="Arial"/>
          <w:sz w:val="13"/>
          <w:szCs w:val="13"/>
          <w:color w:val="auto"/>
        </w:rPr>
        <w:t xml:space="preserve"> p110³ catalytic subunit of PI3K and </w:t>
      </w:r>
      <w:r>
        <w:rPr>
          <w:rFonts w:ascii="Arial" w:cs="Arial" w:eastAsia="Arial" w:hAnsi="Arial"/>
          <w:sz w:val="13"/>
          <w:szCs w:val="13"/>
          <w:b w:val="1"/>
          <w:bCs w:val="1"/>
          <w:color w:val="auto"/>
        </w:rPr>
        <w:t>(c)</w:t>
      </w:r>
      <w:r>
        <w:rPr>
          <w:rFonts w:ascii="Arial" w:cs="Arial" w:eastAsia="Arial" w:hAnsi="Arial"/>
          <w:sz w:val="13"/>
          <w:szCs w:val="13"/>
          <w:color w:val="auto"/>
        </w:rPr>
        <w:t xml:space="preserve"> allosteric site on SOS1.</w:t>
      </w:r>
    </w:p>
    <w:p>
      <w:pPr>
        <w:spacing w:after="0" w:line="99"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causes concentration-dependent disruption of the interaction between KRAS</w:t>
      </w:r>
      <w:r>
        <w:rPr>
          <w:rFonts w:ascii="Arial" w:cs="Arial" w:eastAsia="Arial" w:hAnsi="Arial"/>
          <w:sz w:val="11"/>
          <w:szCs w:val="11"/>
          <w:color w:val="auto"/>
        </w:rPr>
        <w:t>G12C</w:t>
      </w:r>
      <w:r>
        <w:rPr>
          <w:rFonts w:ascii="Arial" w:cs="Arial" w:eastAsia="Arial" w:hAnsi="Arial"/>
          <w:sz w:val="18"/>
          <w:szCs w:val="18"/>
          <w:color w:val="auto"/>
        </w:rPr>
        <w:t>(ON) and RAF-binding domain of BRAF (Figure 18). This inhibitor also penetrates KRAS</w:t>
      </w:r>
      <w:r>
        <w:rPr>
          <w:rFonts w:ascii="Arial" w:cs="Arial" w:eastAsia="Arial" w:hAnsi="Arial"/>
          <w:sz w:val="11"/>
          <w:szCs w:val="11"/>
          <w:color w:val="auto"/>
        </w:rPr>
        <w:t>G12C</w:t>
      </w:r>
      <w:r>
        <w:rPr>
          <w:rFonts w:ascii="Arial" w:cs="Arial" w:eastAsia="Arial" w:hAnsi="Arial"/>
          <w:sz w:val="18"/>
          <w:szCs w:val="18"/>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1"/>
          <w:szCs w:val="11"/>
          <w:color w:val="auto"/>
        </w:rPr>
        <w:t>G12C</w:t>
      </w:r>
      <w:r>
        <w:rPr>
          <w:rFonts w:ascii="Arial" w:cs="Arial" w:eastAsia="Arial" w:hAnsi="Arial"/>
          <w:sz w:val="18"/>
          <w:szCs w:val="18"/>
          <w:color w:val="auto"/>
        </w:rPr>
        <w:t xml:space="preserve">(ON).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administration of 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(RM-010) drives tumor regressions in a KRAS</w:t>
      </w:r>
      <w:r>
        <w:rPr>
          <w:rFonts w:ascii="Arial" w:cs="Arial" w:eastAsia="Arial" w:hAnsi="Arial"/>
          <w:sz w:val="11"/>
          <w:szCs w:val="11"/>
          <w:color w:val="auto"/>
        </w:rPr>
        <w:t>G12C</w:t>
      </w:r>
      <w:r>
        <w:rPr>
          <w:rFonts w:ascii="Arial" w:cs="Arial" w:eastAsia="Arial" w:hAnsi="Arial"/>
          <w:sz w:val="18"/>
          <w:szCs w:val="18"/>
          <w:color w:val="auto"/>
        </w:rPr>
        <w:t xml:space="preserve"> tumor model following repeat dosing (Figure 19). Covalent cross-linking of RAS in the tumor, consistent with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this KRAS</w:t>
      </w:r>
      <w:r>
        <w:rPr>
          <w:rFonts w:ascii="Arial" w:cs="Arial" w:eastAsia="Arial" w:hAnsi="Arial"/>
          <w:sz w:val="11"/>
          <w:szCs w:val="11"/>
          <w:color w:val="auto"/>
        </w:rPr>
        <w:t>G12C</w:t>
      </w:r>
      <w:r>
        <w:rPr>
          <w:rFonts w:ascii="Arial" w:cs="Arial" w:eastAsia="Arial" w:hAnsi="Arial"/>
          <w:sz w:val="18"/>
          <w:szCs w:val="18"/>
          <w:color w:val="auto"/>
        </w:rPr>
        <w:t>(ON) tri-complex inhibitor could be observed following administration of a single dose (Figure 20 inset). Anti-tumor activity with another KRAS</w:t>
      </w:r>
      <w:r>
        <w:rPr>
          <w:rFonts w:ascii="Arial" w:cs="Arial" w:eastAsia="Arial" w:hAnsi="Arial"/>
          <w:sz w:val="11"/>
          <w:szCs w:val="11"/>
          <w:color w:val="auto"/>
        </w:rPr>
        <w:t>G12C</w:t>
      </w:r>
      <w:r>
        <w:rPr>
          <w:rFonts w:ascii="Arial" w:cs="Arial" w:eastAsia="Arial" w:hAnsi="Arial"/>
          <w:sz w:val="18"/>
          <w:szCs w:val="18"/>
          <w:color w:val="auto"/>
        </w:rPr>
        <w:t>(ON) tri-complex inhibitor was observed in multiple KRAS</w:t>
      </w:r>
      <w:r>
        <w:rPr>
          <w:rFonts w:ascii="Arial" w:cs="Arial" w:eastAsia="Arial" w:hAnsi="Arial"/>
          <w:sz w:val="11"/>
          <w:szCs w:val="11"/>
          <w:color w:val="auto"/>
        </w:rPr>
        <w:t>G12C</w:t>
      </w:r>
      <w:r>
        <w:rPr>
          <w:rFonts w:ascii="Arial" w:cs="Arial" w:eastAsia="Arial" w:hAnsi="Arial"/>
          <w:sz w:val="18"/>
          <w:szCs w:val="18"/>
          <w:color w:val="auto"/>
        </w:rPr>
        <w:t xml:space="preserve"> tumor models, as demonstrated by RM-015, which drove deep tumor regressions in preclinical xenograft models of both NSCLC and PDAC tumors harboring KRAS</w:t>
      </w:r>
      <w:r>
        <w:rPr>
          <w:rFonts w:ascii="Arial" w:cs="Arial" w:eastAsia="Arial" w:hAnsi="Arial"/>
          <w:sz w:val="11"/>
          <w:szCs w:val="11"/>
          <w:color w:val="auto"/>
        </w:rPr>
        <w:t>G12C</w:t>
      </w:r>
      <w:r>
        <w:rPr>
          <w:rFonts w:ascii="Arial" w:cs="Arial" w:eastAsia="Arial" w:hAnsi="Arial"/>
          <w:sz w:val="18"/>
          <w:szCs w:val="18"/>
          <w:color w:val="auto"/>
        </w:rPr>
        <w:t xml:space="preserve"> (Figure 21).</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64" w:lineRule="auto"/>
        <w:rPr>
          <w:sz w:val="20"/>
          <w:szCs w:val="20"/>
          <w:color w:val="auto"/>
        </w:rPr>
      </w:pPr>
      <w:r>
        <w:rPr>
          <w:rFonts w:ascii="Arial" w:cs="Arial" w:eastAsia="Arial" w:hAnsi="Arial"/>
          <w:sz w:val="18"/>
          <w:szCs w:val="18"/>
          <w:b w:val="1"/>
          <w:bCs w:val="1"/>
          <w:color w:val="auto"/>
        </w:rPr>
        <w:t>Figure 19</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tri-complex inhibitor disrupts KRAS</w:t>
      </w:r>
      <w:r>
        <w:rPr>
          <w:rFonts w:ascii="Arial" w:cs="Arial" w:eastAsia="Arial" w:hAnsi="Arial"/>
          <w:sz w:val="11"/>
          <w:szCs w:val="11"/>
          <w:color w:val="auto"/>
        </w:rPr>
        <w:t>G12C</w:t>
      </w:r>
      <w:r>
        <w:rPr>
          <w:rFonts w:ascii="Arial" w:cs="Arial" w:eastAsia="Arial" w:hAnsi="Arial"/>
          <w:sz w:val="18"/>
          <w:szCs w:val="18"/>
          <w:color w:val="auto"/>
        </w:rPr>
        <w:t>-RAF interaction; inhibits RAS pathway and proliferation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57150</wp:posOffset>
            </wp:positionV>
            <wp:extent cx="4277360" cy="27686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773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line="185" w:lineRule="auto"/>
        <w:rPr>
          <w:sz w:val="20"/>
          <w:szCs w:val="20"/>
          <w:color w:val="auto"/>
        </w:rPr>
      </w:pPr>
      <w:r>
        <w:rPr>
          <w:rFonts w:ascii="Arial" w:cs="Arial" w:eastAsia="Arial" w:hAnsi="Arial"/>
          <w:sz w:val="12"/>
          <w:szCs w:val="12"/>
          <w:color w:val="auto"/>
        </w:rPr>
        <w:t>Biochemical characterization of the effect of KRAS</w:t>
      </w:r>
      <w:r>
        <w:rPr>
          <w:rFonts w:ascii="Arial" w:cs="Arial" w:eastAsia="Arial" w:hAnsi="Arial"/>
          <w:sz w:val="19"/>
          <w:szCs w:val="19"/>
          <w:color w:val="auto"/>
          <w:vertAlign w:val="superscript"/>
        </w:rPr>
        <w:t>G12C</w:t>
      </w:r>
      <w:r>
        <w:rPr>
          <w:rFonts w:ascii="Arial" w:cs="Arial" w:eastAsia="Arial" w:hAnsi="Arial"/>
          <w:sz w:val="12"/>
          <w:szCs w:val="12"/>
          <w:color w:val="auto"/>
        </w:rPr>
        <w:t>(ON) tri-complex inhibitor RM-010 on the interaction between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(a). RAS pathway activity and cell proliferation in NSCLC NCI-H358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cells were monitored in 2D cell cultures using levels of ERK1/2 phosphorylation at Thr202/Tyr204 (cellular pERK) (b) and in 3D cell cultures using CellTiter-Glo CTG (cell proliferation)</w:t>
      </w:r>
    </w:p>
    <w:p>
      <w:pPr>
        <w:spacing w:after="0" w:line="2" w:lineRule="exact"/>
        <w:rPr>
          <w:sz w:val="20"/>
          <w:szCs w:val="20"/>
          <w:color w:val="auto"/>
        </w:rPr>
      </w:pPr>
    </w:p>
    <w:p>
      <w:pPr>
        <w:jc w:val="both"/>
        <w:ind w:left="120" w:right="80"/>
        <w:spacing w:after="0" w:line="208" w:lineRule="auto"/>
        <w:rPr>
          <w:sz w:val="20"/>
          <w:szCs w:val="20"/>
          <w:color w:val="auto"/>
        </w:rPr>
      </w:pPr>
      <w:r>
        <w:rPr>
          <w:rFonts w:ascii="Arial" w:cs="Arial" w:eastAsia="Arial" w:hAnsi="Arial"/>
          <w:sz w:val="13"/>
          <w:szCs w:val="13"/>
          <w:color w:val="auto"/>
        </w:rPr>
        <w:t>(c). RM-007 potency (expressed as the IC</w:t>
      </w:r>
      <w:r>
        <w:rPr>
          <w:rFonts w:ascii="Arial" w:cs="Arial" w:eastAsia="Arial" w:hAnsi="Arial"/>
          <w:sz w:val="22"/>
          <w:szCs w:val="22"/>
          <w:color w:val="auto"/>
          <w:vertAlign w:val="subscript"/>
        </w:rPr>
        <w:t>50</w:t>
      </w:r>
      <w:r>
        <w:rPr>
          <w:rFonts w:ascii="Arial" w:cs="Arial" w:eastAsia="Arial" w:hAnsi="Arial"/>
          <w:sz w:val="13"/>
          <w:szCs w:val="13"/>
          <w:color w:val="auto"/>
        </w:rPr>
        <w:t xml:space="preserve"> in µM) for inhibition of proliferation of a panel of cell lines bearing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mutations (green bars) or other non-KRAS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mutations in the RAS pathway (blue bars) (d). Data shown in Figures a, b and c represent the mean of at least two independent studies, each performed in duplicate (error bars show the standard deviation). Data in Figure d are from a single study performed in triplicate.</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color w:val="auto"/>
        </w:rPr>
        <w:t>Tri-complex KRAS</w:t>
      </w:r>
      <w:r>
        <w:rPr>
          <w:rFonts w:ascii="Arial" w:cs="Arial" w:eastAsia="Arial" w:hAnsi="Arial"/>
          <w:sz w:val="11"/>
          <w:szCs w:val="11"/>
          <w:color w:val="auto"/>
        </w:rPr>
        <w:t>G12C</w:t>
      </w:r>
      <w:r>
        <w:rPr>
          <w:rFonts w:ascii="Arial" w:cs="Arial" w:eastAsia="Arial" w:hAnsi="Arial"/>
          <w:sz w:val="18"/>
          <w:szCs w:val="18"/>
          <w:color w:val="auto"/>
        </w:rPr>
        <w:t>(ON) inhibitor suppresses tumor growth in preclinical xenograft model of tumors harboring KRAS</w:t>
      </w:r>
      <w:r>
        <w:rPr>
          <w:rFonts w:ascii="Arial" w:cs="Arial" w:eastAsia="Arial" w:hAnsi="Arial"/>
          <w:sz w:val="11"/>
          <w:szCs w:val="11"/>
          <w:color w:val="auto"/>
        </w:rPr>
        <w:t>G12C</w:t>
      </w:r>
    </w:p>
    <w:p>
      <w:pPr>
        <w:spacing w:after="0" w:line="10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86360</wp:posOffset>
            </wp:positionV>
            <wp:extent cx="4157345" cy="21088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5734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0" w:right="220"/>
        <w:spacing w:after="0" w:line="197" w:lineRule="auto"/>
        <w:rPr>
          <w:sz w:val="20"/>
          <w:szCs w:val="20"/>
          <w:color w:val="auto"/>
        </w:rPr>
      </w:pPr>
      <w:r>
        <w:rPr>
          <w:rFonts w:ascii="Arial" w:cs="Arial" w:eastAsia="Arial" w:hAnsi="Arial"/>
          <w:sz w:val="13"/>
          <w:szCs w:val="13"/>
          <w:color w:val="auto"/>
        </w:rPr>
        <w:t>Anti-tumor activity of RM-010 (100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xenograft model in mice. Data represent mean tumor volume over time (a) or waterfall plot of individual end of study responses, with tumor volume expressed as a percentage of initial tumor volume at time of</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40"/>
          </w:cols>
          <w:pgMar w:left="320" w:top="459" w:right="5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3" w:lineRule="auto"/>
        <w:rPr>
          <w:sz w:val="20"/>
          <w:szCs w:val="20"/>
          <w:color w:val="auto"/>
        </w:rPr>
      </w:pPr>
      <w:r>
        <w:rPr>
          <w:rFonts w:ascii="Arial" w:cs="Arial" w:eastAsia="Arial" w:hAnsi="Arial"/>
          <w:sz w:val="13"/>
          <w:szCs w:val="13"/>
          <w:color w:val="auto"/>
        </w:rPr>
        <w:t>study start (truncated at 300%) (b). Number of mice per group = 10. In (a) data represent mean and errors bars represent standard error of the mean. In (b) each animal is represented as a separate bar. Numbers indicate number of regressions (defined as &gt; 10% reduction in tumor volume from starting volume) in each group. Inset, western blot for RAS in tumor lysates prepared from tumors harvested at 6 and 48 hours after administration of a single dose of RM-010 (100 mg/kg, ip) or vehicle to mice bearing NCI-H358 tumors. Data shown are from a single mouse (similar target engagement data were obtained using tumor samples from two additional mice at each time point shown, as well as from three additional mice treated for 24 hours).</w:t>
      </w:r>
    </w:p>
    <w:p>
      <w:pPr>
        <w:spacing w:after="0" w:line="227" w:lineRule="exact"/>
        <w:rPr>
          <w:sz w:val="20"/>
          <w:szCs w:val="20"/>
          <w:color w:val="auto"/>
        </w:rPr>
      </w:pPr>
    </w:p>
    <w:p>
      <w:pPr>
        <w:ind w:left="120" w:right="680"/>
        <w:spacing w:after="0" w:line="264" w:lineRule="auto"/>
        <w:rPr>
          <w:sz w:val="20"/>
          <w:szCs w:val="20"/>
          <w:color w:val="auto"/>
        </w:rPr>
      </w:pPr>
      <w:r>
        <w:rPr>
          <w:rFonts w:ascii="Arial" w:cs="Arial" w:eastAsia="Arial" w:hAnsi="Arial"/>
          <w:sz w:val="18"/>
          <w:szCs w:val="18"/>
          <w:b w:val="1"/>
          <w:bCs w:val="1"/>
          <w:color w:val="auto"/>
        </w:rPr>
        <w:t>Figure 21</w:t>
      </w:r>
      <w:r>
        <w:rPr>
          <w:rFonts w:ascii="Arial" w:cs="Arial" w:eastAsia="Arial" w:hAnsi="Arial"/>
          <w:sz w:val="18"/>
          <w:szCs w:val="18"/>
          <w:color w:val="auto"/>
        </w:rPr>
        <w:t>: Tri-complex KRAS</w:t>
      </w:r>
      <w:r>
        <w:rPr>
          <w:rFonts w:ascii="Arial" w:cs="Arial" w:eastAsia="Arial" w:hAnsi="Arial"/>
          <w:sz w:val="11"/>
          <w:szCs w:val="11"/>
          <w:color w:val="auto"/>
        </w:rPr>
        <w:t>G12C</w:t>
      </w:r>
      <w:r>
        <w:rPr>
          <w:rFonts w:ascii="Arial" w:cs="Arial" w:eastAsia="Arial" w:hAnsi="Arial"/>
          <w:sz w:val="18"/>
          <w:szCs w:val="18"/>
          <w:color w:val="auto"/>
        </w:rPr>
        <w:t>(ON) inhibitor drives tumor regressions in preclinical xenograft models of NSCLC and PDAC tumors</w:t>
      </w:r>
      <w:r>
        <w:rPr>
          <w:rFonts w:ascii="Arial" w:cs="Arial" w:eastAsia="Arial" w:hAnsi="Arial"/>
          <w:sz w:val="18"/>
          <w:szCs w:val="18"/>
          <w:b w:val="1"/>
          <w:bCs w:val="1"/>
          <w:color w:val="auto"/>
        </w:rPr>
        <w:t xml:space="preserve"> </w:t>
      </w:r>
      <w:r>
        <w:rPr>
          <w:rFonts w:ascii="Arial" w:cs="Arial" w:eastAsia="Arial" w:hAnsi="Arial"/>
          <w:sz w:val="18"/>
          <w:szCs w:val="18"/>
          <w:color w:val="auto"/>
        </w:rPr>
        <w:t>harboring KRAS</w:t>
      </w:r>
      <w:r>
        <w:rPr>
          <w:rFonts w:ascii="Arial" w:cs="Arial" w:eastAsia="Arial" w:hAnsi="Arial"/>
          <w:sz w:val="11"/>
          <w:szCs w:val="11"/>
          <w:color w:val="auto"/>
        </w:rPr>
        <w:t>G12C</w:t>
      </w:r>
      <w:r>
        <w:rPr>
          <w:rFonts w:ascii="Arial" w:cs="Arial" w:eastAsia="Arial" w:hAnsi="Arial"/>
          <w:sz w:val="18"/>
          <w:szCs w:val="18"/>
          <w:color w:val="auto"/>
        </w:rPr>
        <w:t>.</w:t>
      </w:r>
    </w:p>
    <w:p>
      <w:pPr>
        <w:sectPr>
          <w:pgSz w:w="11900" w:h="16838" w:orient="portrait"/>
          <w:cols w:equalWidth="0" w:num="1">
            <w:col w:w="11120"/>
          </w:cols>
          <w:pgMar w:left="320" w:top="459" w:right="459" w:bottom="1440" w:gutter="0" w:footer="0" w:header="0"/>
        </w:sectPr>
      </w:pPr>
    </w:p>
    <w:p>
      <w:pPr>
        <w:spacing w:after="0" w:line="71"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126365</wp:posOffset>
            </wp:positionV>
            <wp:extent cx="2065655" cy="1431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65655" cy="143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PDAC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2074545" cy="1431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74545" cy="1431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720"/>
            <w:col w:w="3020"/>
          </w:cols>
          <w:pgMar w:left="320" w:top="459" w:right="45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w:t>
      </w:r>
    </w:p>
    <w:p>
      <w:pPr>
        <w:spacing w:after="0" w:line="222"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126365</wp:posOffset>
            </wp:positionV>
            <wp:extent cx="1988820" cy="12172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8882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126365</wp:posOffset>
            </wp:positionV>
            <wp:extent cx="2194560" cy="13201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94560" cy="13201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60" w:space="720"/>
            <w:col w:w="3240"/>
          </w:cols>
          <w:pgMar w:left="320" w:top="459" w:right="45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w:t>
      </w:r>
    </w:p>
    <w:p>
      <w:pPr>
        <w:spacing w:after="0" w:line="222"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20" w:right="180"/>
        <w:spacing w:after="0"/>
        <w:rPr>
          <w:sz w:val="20"/>
          <w:szCs w:val="20"/>
          <w:color w:val="auto"/>
        </w:rPr>
      </w:pPr>
      <w:r>
        <w:rPr>
          <w:rFonts w:ascii="Arial" w:cs="Arial" w:eastAsia="Arial" w:hAnsi="Arial"/>
          <w:sz w:val="13"/>
          <w:szCs w:val="13"/>
          <w:color w:val="auto"/>
        </w:rPr>
        <w:t>Anti-tumor activity of RM-015 (10 or 30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(a and b) and PDAC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 and d) xenograft models in mice. Data represent mean tumor volume over time (a and c) or waterfall plots of individual end of study responses, with tumor volume expressed as a percentage of initial tumor volume at time of study start (truncated at 300% in b) (b and d). Number of mice per group = 10. In (a) and (c) data represent mean and errors bars represent standard error of the mean. In (b) and (d) each animal is represented as a separate bar. Numbers indicate number of regressions (defined as &gt; 10% reduction in tumor volume from starting volume) in each group.</w:t>
      </w:r>
    </w:p>
    <w:p>
      <w:pPr>
        <w:spacing w:after="0" w:line="173" w:lineRule="exact"/>
        <w:rPr>
          <w:sz w:val="20"/>
          <w:szCs w:val="20"/>
          <w:color w:val="auto"/>
        </w:rPr>
      </w:pPr>
    </w:p>
    <w:p>
      <w:pPr>
        <w:ind w:left="120"/>
        <w:spacing w:after="0" w:line="229" w:lineRule="auto"/>
        <w:rPr>
          <w:sz w:val="20"/>
          <w:szCs w:val="20"/>
          <w:color w:val="auto"/>
        </w:rPr>
      </w:pPr>
      <w:r>
        <w:rPr>
          <w:rFonts w:ascii="Arial" w:cs="Arial" w:eastAsia="Arial" w:hAnsi="Arial"/>
          <w:sz w:val="18"/>
          <w:szCs w:val="18"/>
          <w:color w:val="auto"/>
        </w:rPr>
        <w:t>We have also recently developed compounds featuring oral bioavailability in rodents. Following oral administration, these compounds are able to achieve plasma concentrations that exceed, for several hours, the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RAS pathway inhibition in cell culture assays (Figure 22). Repeated once daily dosing induces tumor regressions in a KRAS</w:t>
      </w:r>
      <w:r>
        <w:rPr>
          <w:rFonts w:ascii="Arial" w:cs="Arial" w:eastAsia="Arial" w:hAnsi="Arial"/>
          <w:sz w:val="11"/>
          <w:szCs w:val="11"/>
          <w:color w:val="auto"/>
        </w:rPr>
        <w:t>G12C</w:t>
      </w:r>
      <w:r>
        <w:rPr>
          <w:rFonts w:ascii="Arial" w:cs="Arial" w:eastAsia="Arial" w:hAnsi="Arial"/>
          <w:sz w:val="18"/>
          <w:szCs w:val="18"/>
          <w:color w:val="auto"/>
        </w:rPr>
        <w:t xml:space="preserve"> NSCLC mouse xenograft model that are similar to those observed for the equivalent dose of AMG 510, a KRAS</w:t>
      </w:r>
      <w:r>
        <w:rPr>
          <w:rFonts w:ascii="Arial" w:cs="Arial" w:eastAsia="Arial" w:hAnsi="Arial"/>
          <w:sz w:val="11"/>
          <w:szCs w:val="11"/>
          <w:color w:val="auto"/>
        </w:rPr>
        <w:t>G12C</w:t>
      </w:r>
      <w:r>
        <w:rPr>
          <w:rFonts w:ascii="Arial" w:cs="Arial" w:eastAsia="Arial" w:hAnsi="Arial"/>
          <w:sz w:val="18"/>
          <w:szCs w:val="18"/>
          <w:color w:val="auto"/>
        </w:rPr>
        <w:t>(OFF) inhibitor (Figure 23). Given the short duration of dosing and the high sensitivity of the NCI-H358 model to AMG 510, it was not anticipated that the KRAS</w:t>
      </w:r>
      <w:r>
        <w:rPr>
          <w:rFonts w:ascii="Arial" w:cs="Arial" w:eastAsia="Arial" w:hAnsi="Arial"/>
          <w:sz w:val="11"/>
          <w:szCs w:val="11"/>
          <w:color w:val="auto"/>
        </w:rPr>
        <w:t>G12C</w:t>
      </w:r>
      <w:r>
        <w:rPr>
          <w:rFonts w:ascii="Arial" w:cs="Arial" w:eastAsia="Arial" w:hAnsi="Arial"/>
          <w:sz w:val="18"/>
          <w:szCs w:val="18"/>
          <w:color w:val="auto"/>
        </w:rPr>
        <w:t>(ON) inhibitor would show enhanced anti-tumor activity in vivo relative to the KRAS</w:t>
      </w:r>
      <w:r>
        <w:rPr>
          <w:rFonts w:ascii="Arial" w:cs="Arial" w:eastAsia="Arial" w:hAnsi="Arial"/>
          <w:sz w:val="11"/>
          <w:szCs w:val="11"/>
          <w:color w:val="auto"/>
        </w:rPr>
        <w:t>G12C</w:t>
      </w:r>
      <w:r>
        <w:rPr>
          <w:rFonts w:ascii="Arial" w:cs="Arial" w:eastAsia="Arial" w:hAnsi="Arial"/>
          <w:sz w:val="18"/>
          <w:szCs w:val="18"/>
          <w:color w:val="auto"/>
        </w:rPr>
        <w:t xml:space="preserve">(OFF) inhibitor in this model despite significant benefits observed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comparisons of RAS(ON) and RAS(OFF) inhibitors, as described in this prospectus. Lead optimization activities are focused on further improvements in potency and pharmacokinetic properties.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b w:val="1"/>
          <w:bCs w:val="1"/>
          <w:color w:val="auto"/>
        </w:rPr>
        <w:t>Figure 22</w:t>
      </w:r>
      <w:r>
        <w:rPr>
          <w:rFonts w:ascii="Arial" w:cs="Arial" w:eastAsia="Arial" w:hAnsi="Arial"/>
          <w:sz w:val="18"/>
          <w:szCs w:val="18"/>
          <w:color w:val="auto"/>
        </w:rPr>
        <w:t>: RAS pathway inhibition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and pharmacokinetic profile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of RM-017, a potent orally bioavailable KRAS</w:t>
      </w:r>
      <w:r>
        <w:rPr>
          <w:rFonts w:ascii="Arial" w:cs="Arial" w:eastAsia="Arial" w:hAnsi="Arial"/>
          <w:sz w:val="11"/>
          <w:szCs w:val="11"/>
          <w:color w:val="auto"/>
        </w:rPr>
        <w:t>G12C</w:t>
      </w:r>
      <w:r>
        <w:rPr>
          <w:rFonts w:ascii="Arial" w:cs="Arial" w:eastAsia="Arial" w:hAnsi="Arial"/>
          <w:sz w:val="18"/>
          <w:szCs w:val="18"/>
          <w:color w:val="auto"/>
        </w:rPr>
        <w:t>(ON) inhibitor</w:t>
      </w:r>
      <w:r>
        <w:rPr>
          <w:rFonts w:ascii="Arial" w:cs="Arial" w:eastAsia="Arial" w:hAnsi="Arial"/>
          <w:sz w:val="18"/>
          <w:szCs w:val="18"/>
          <w:b w:val="1"/>
          <w:bCs w:val="1"/>
          <w:color w:val="auto"/>
        </w:rPr>
        <w:t xml:space="preserve"> </w:t>
      </w:r>
      <w:r>
        <w:rPr>
          <w:rFonts w:ascii="Arial" w:cs="Arial" w:eastAsia="Arial" w:hAnsi="Arial"/>
          <w:sz w:val="18"/>
          <w:szCs w:val="18"/>
          <w:color w:val="auto"/>
        </w:rPr>
        <w:t>from lead optimization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57150</wp:posOffset>
            </wp:positionV>
            <wp:extent cx="4423410" cy="21513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42341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80" w:hanging="4"/>
        <w:spacing w:after="0" w:line="180" w:lineRule="auto"/>
        <w:tabs>
          <w:tab w:leader="none" w:pos="322" w:val="left"/>
        </w:tabs>
        <w:numPr>
          <w:ilvl w:val="0"/>
          <w:numId w:val="72"/>
        </w:numPr>
        <w:rPr>
          <w:rFonts w:ascii="Arial" w:cs="Arial" w:eastAsia="Arial" w:hAnsi="Arial"/>
          <w:sz w:val="13"/>
          <w:szCs w:val="13"/>
          <w:b w:val="1"/>
          <w:bCs w:val="1"/>
          <w:color w:val="auto"/>
        </w:rPr>
      </w:pPr>
      <w:r>
        <w:rPr>
          <w:rFonts w:ascii="Arial" w:cs="Arial" w:eastAsia="Arial" w:hAnsi="Arial"/>
          <w:sz w:val="13"/>
          <w:szCs w:val="13"/>
          <w:color w:val="auto"/>
        </w:rPr>
        <w:t>RM-017 inhibits RAS pathway activity in 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cells. Levels of ERK1/2 phosphorylation at Thr202/Tyr204 (cellular pERK) in 2D cell culture were monitored following incubation with RM-017 for four hours. Data shown represent the mean of at least four independent studies, each performed in duplicate (error bars show the standard deviation). Dotted lines indicate concentration required for inhibition of pathway activation by 50% (IC</w:t>
      </w:r>
      <w:r>
        <w:rPr>
          <w:rFonts w:ascii="Arial" w:cs="Arial" w:eastAsia="Arial" w:hAnsi="Arial"/>
          <w:sz w:val="22"/>
          <w:szCs w:val="22"/>
          <w:color w:val="auto"/>
          <w:vertAlign w:val="subscript"/>
        </w:rPr>
        <w:t>50</w:t>
      </w:r>
      <w:r>
        <w:rPr>
          <w:rFonts w:ascii="Arial" w:cs="Arial" w:eastAsia="Arial" w:hAnsi="Arial"/>
          <w:sz w:val="13"/>
          <w:szCs w:val="13"/>
          <w:color w:val="auto"/>
        </w:rPr>
        <w:t xml:space="preserve">). </w:t>
      </w:r>
      <w:r>
        <w:rPr>
          <w:rFonts w:ascii="Arial" w:cs="Arial" w:eastAsia="Arial" w:hAnsi="Arial"/>
          <w:sz w:val="13"/>
          <w:szCs w:val="13"/>
          <w:b w:val="1"/>
          <w:bCs w:val="1"/>
          <w:color w:val="auto"/>
        </w:rPr>
        <w:t>(b)</w:t>
      </w:r>
      <w:r>
        <w:rPr>
          <w:rFonts w:ascii="Arial" w:cs="Arial" w:eastAsia="Arial" w:hAnsi="Arial"/>
          <w:sz w:val="13"/>
          <w:szCs w:val="13"/>
          <w:color w:val="auto"/>
        </w:rPr>
        <w:t xml:space="preserve"> Unbound plasma concentration over time profile for RM-017 following oral administration of a single dose at 100 mg/kg to naïve mice. Data represent mean and errors bars represent standard error of the mean. Number of mice per group = 3. Dotted line represents the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IC</w:t>
      </w:r>
      <w:r>
        <w:rPr>
          <w:rFonts w:ascii="Arial" w:cs="Arial" w:eastAsia="Arial" w:hAnsi="Arial"/>
          <w:sz w:val="22"/>
          <w:szCs w:val="22"/>
          <w:color w:val="auto"/>
          <w:vertAlign w:val="subscript"/>
        </w:rPr>
        <w:t>50</w:t>
      </w:r>
      <w:r>
        <w:rPr>
          <w:rFonts w:ascii="Arial" w:cs="Arial" w:eastAsia="Arial" w:hAnsi="Arial"/>
          <w:sz w:val="13"/>
          <w:szCs w:val="13"/>
          <w:color w:val="auto"/>
        </w:rPr>
        <w:t xml:space="preserve"> (2 nM) for inhibition of pathway activation by RM-017 in NCI-H358 cells (as shown in panel (a)).</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23</w:t>
      </w:r>
      <w:r>
        <w:rPr>
          <w:rFonts w:ascii="Arial" w:cs="Arial" w:eastAsia="Arial" w:hAnsi="Arial"/>
          <w:sz w:val="18"/>
          <w:szCs w:val="18"/>
          <w:color w:val="auto"/>
        </w:rPr>
        <w:t>:. Anti-tumor activity of RM-017 dosed orally once daily in a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NSCLC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86360</wp:posOffset>
            </wp:positionV>
            <wp:extent cx="4431665" cy="22802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316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right="100"/>
        <w:spacing w:after="0" w:line="214" w:lineRule="auto"/>
        <w:rPr>
          <w:sz w:val="20"/>
          <w:szCs w:val="20"/>
          <w:color w:val="auto"/>
        </w:rPr>
      </w:pPr>
      <w:r>
        <w:rPr>
          <w:rFonts w:ascii="Arial" w:cs="Arial" w:eastAsia="Arial" w:hAnsi="Arial"/>
          <w:sz w:val="13"/>
          <w:szCs w:val="13"/>
          <w:color w:val="auto"/>
        </w:rPr>
        <w:t>Anti-tumor activity of RM-017 (100 mg/kg, oral, daily; po qd) or AMG 510 (100 mg/kg po qd) in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xenograft model in immune-deficient mice. Data represent mean tumor volume over time </w:t>
      </w:r>
      <w:r>
        <w:rPr>
          <w:rFonts w:ascii="Arial" w:cs="Arial" w:eastAsia="Arial" w:hAnsi="Arial"/>
          <w:sz w:val="13"/>
          <w:szCs w:val="13"/>
          <w:b w:val="1"/>
          <w:bCs w:val="1"/>
          <w:color w:val="auto"/>
        </w:rPr>
        <w:t>(a)</w:t>
      </w:r>
      <w:r>
        <w:rPr>
          <w:rFonts w:ascii="Arial" w:cs="Arial" w:eastAsia="Arial" w:hAnsi="Arial"/>
          <w:sz w:val="13"/>
          <w:szCs w:val="13"/>
          <w:color w:val="auto"/>
        </w:rPr>
        <w:t xml:space="preserve"> or waterfall plot of individual end of study responses, with tumor volume expressed as a percentage of initial tumor volume at time of study start (truncated at 300%) </w:t>
      </w:r>
      <w:r>
        <w:rPr>
          <w:rFonts w:ascii="Arial" w:cs="Arial" w:eastAsia="Arial" w:hAnsi="Arial"/>
          <w:sz w:val="13"/>
          <w:szCs w:val="13"/>
          <w:b w:val="1"/>
          <w:bCs w:val="1"/>
          <w:color w:val="auto"/>
        </w:rPr>
        <w:t>(b)</w:t>
      </w:r>
      <w:r>
        <w:rPr>
          <w:rFonts w:ascii="Arial" w:cs="Arial" w:eastAsia="Arial" w:hAnsi="Arial"/>
          <w:sz w:val="13"/>
          <w:szCs w:val="13"/>
          <w:color w:val="auto"/>
        </w:rPr>
        <w:t>. Number of mice per group = 10 unless noted. In (a) data represent mean and errors bars represent standard error of the mean. In (b) each animal is represented as a separate bar. Numbers indicate number of regressions (defined as &gt; 10% reduction in tumor volume from starting volume) in each group.</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are also able to leverage our findings with KRAS</w:t>
      </w:r>
      <w:r>
        <w:rPr>
          <w:rFonts w:ascii="Arial" w:cs="Arial" w:eastAsia="Arial" w:hAnsi="Arial"/>
          <w:sz w:val="11"/>
          <w:szCs w:val="11"/>
          <w:color w:val="auto"/>
        </w:rPr>
        <w:t>G12C</w:t>
      </w:r>
      <w:r>
        <w:rPr>
          <w:rFonts w:ascii="Arial" w:cs="Arial" w:eastAsia="Arial" w:hAnsi="Arial"/>
          <w:sz w:val="18"/>
          <w:szCs w:val="18"/>
          <w:color w:val="auto"/>
        </w:rPr>
        <w:t>(ON) more broadly to facilitate identification of selective tri-complex inhibitors of other RAS(ON) mutants. We are developing inhibitors of several “hotspot” RAS(ON) mutants, with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 xml:space="preserve"> as particular priorities. We have identified compounds with functional activity in biochemical and cellular assays that measure RAS signaling pathway activity and have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20"/>
        <w:spacing w:after="0" w:line="272" w:lineRule="auto"/>
        <w:rPr>
          <w:sz w:val="20"/>
          <w:szCs w:val="20"/>
          <w:color w:val="auto"/>
        </w:rPr>
      </w:pPr>
      <w:r>
        <w:rPr>
          <w:rFonts w:ascii="Arial" w:cs="Arial" w:eastAsia="Arial" w:hAnsi="Arial"/>
          <w:sz w:val="16"/>
          <w:szCs w:val="16"/>
          <w:color w:val="auto"/>
        </w:rPr>
        <w:t>representative data for all of these variants (Figures 22, 23 and 24).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56" w:lineRule="exact"/>
        <w:rPr>
          <w:sz w:val="20"/>
          <w:szCs w:val="20"/>
          <w:color w:val="auto"/>
        </w:rPr>
      </w:pPr>
    </w:p>
    <w:p>
      <w:pPr>
        <w:ind w:left="120" w:right="200"/>
        <w:spacing w:after="0" w:line="264" w:lineRule="auto"/>
        <w:rPr>
          <w:sz w:val="20"/>
          <w:szCs w:val="20"/>
          <w:color w:val="auto"/>
        </w:rPr>
      </w:pPr>
      <w:r>
        <w:rPr>
          <w:rFonts w:ascii="Arial" w:cs="Arial" w:eastAsia="Arial" w:hAnsi="Arial"/>
          <w:sz w:val="18"/>
          <w:szCs w:val="18"/>
          <w:b w:val="1"/>
          <w:bCs w:val="1"/>
          <w:color w:val="auto"/>
        </w:rPr>
        <w:t>Figure 24</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(ON) tri-complex inhibitor RM-008 disrupts KRAS</w:t>
      </w:r>
      <w:r>
        <w:rPr>
          <w:rFonts w:ascii="Arial" w:cs="Arial" w:eastAsia="Arial" w:hAnsi="Arial"/>
          <w:sz w:val="11"/>
          <w:szCs w:val="11"/>
          <w:color w:val="auto"/>
        </w:rPr>
        <w:t>G13C</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G13C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57150</wp:posOffset>
            </wp:positionV>
            <wp:extent cx="3883025" cy="26403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8302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line="182" w:lineRule="auto"/>
        <w:rPr>
          <w:sz w:val="20"/>
          <w:szCs w:val="20"/>
          <w:color w:val="auto"/>
        </w:rPr>
      </w:pPr>
      <w:r>
        <w:rPr>
          <w:rFonts w:ascii="Arial" w:cs="Arial" w:eastAsia="Arial" w:hAnsi="Arial"/>
          <w:sz w:val="13"/>
          <w:szCs w:val="13"/>
          <w:color w:val="auto"/>
        </w:rPr>
        <w:t>Surface representation of atomic resolution crystal structure of tri-complex of RM-008 with KRAS</w:t>
      </w:r>
      <w:r>
        <w:rPr>
          <w:rFonts w:ascii="Arial" w:cs="Arial" w:eastAsia="Arial" w:hAnsi="Arial"/>
          <w:sz w:val="21"/>
          <w:szCs w:val="21"/>
          <w:color w:val="auto"/>
          <w:vertAlign w:val="superscript"/>
        </w:rPr>
        <w:t>G13C</w:t>
      </w:r>
      <w:r>
        <w:rPr>
          <w:rFonts w:ascii="Arial" w:cs="Arial" w:eastAsia="Arial" w:hAnsi="Arial"/>
          <w:sz w:val="13"/>
          <w:szCs w:val="13"/>
          <w:color w:val="auto"/>
        </w:rPr>
        <w:t xml:space="preserve"> (loaded with a non-hydrolysable analog of GTP) and cyclophilin A </w:t>
      </w:r>
      <w:r>
        <w:rPr>
          <w:rFonts w:ascii="Arial" w:cs="Arial" w:eastAsia="Arial" w:hAnsi="Arial"/>
          <w:sz w:val="13"/>
          <w:szCs w:val="13"/>
          <w:b w:val="1"/>
          <w:bCs w:val="1"/>
          <w:color w:val="auto"/>
        </w:rPr>
        <w:t>(a)</w:t>
      </w:r>
      <w:r>
        <w:rPr>
          <w:rFonts w:ascii="Arial" w:cs="Arial" w:eastAsia="Arial" w:hAnsi="Arial"/>
          <w:sz w:val="13"/>
          <w:szCs w:val="13"/>
          <w:color w:val="auto"/>
        </w:rPr>
        <w:t>. Biochemical characterization of the effect of KRAS</w:t>
      </w:r>
      <w:r>
        <w:rPr>
          <w:rFonts w:ascii="Arial" w:cs="Arial" w:eastAsia="Arial" w:hAnsi="Arial"/>
          <w:sz w:val="21"/>
          <w:szCs w:val="21"/>
          <w:color w:val="auto"/>
          <w:vertAlign w:val="superscript"/>
        </w:rPr>
        <w:t>G13C</w:t>
      </w:r>
      <w:r>
        <w:rPr>
          <w:rFonts w:ascii="Arial" w:cs="Arial" w:eastAsia="Arial" w:hAnsi="Arial"/>
          <w:sz w:val="13"/>
          <w:szCs w:val="13"/>
          <w:color w:val="auto"/>
        </w:rPr>
        <w:t>(ON) tri-complex inhibitor RM-008 on the interaction between KRAS</w:t>
      </w:r>
      <w:r>
        <w:rPr>
          <w:rFonts w:ascii="Arial" w:cs="Arial" w:eastAsia="Arial" w:hAnsi="Arial"/>
          <w:sz w:val="21"/>
          <w:szCs w:val="21"/>
          <w:color w:val="auto"/>
          <w:vertAlign w:val="superscript"/>
        </w:rPr>
        <w:t>G13C</w:t>
      </w:r>
      <w:r>
        <w:rPr>
          <w:rFonts w:ascii="Arial" w:cs="Arial" w:eastAsia="Arial" w:hAnsi="Arial"/>
          <w:sz w:val="13"/>
          <w:szCs w:val="13"/>
          <w:color w:val="auto"/>
        </w:rPr>
        <w:t xml:space="preserve"> (loaded with a non-hydrolysable analog of GTP) and the RAS binding domain (RBD) of BRAF was performed using a TR-FRET assay (RAS-RAF disruption) </w:t>
      </w:r>
      <w:r>
        <w:rPr>
          <w:rFonts w:ascii="Arial" w:cs="Arial" w:eastAsia="Arial" w:hAnsi="Arial"/>
          <w:sz w:val="13"/>
          <w:szCs w:val="13"/>
          <w:b w:val="1"/>
          <w:bCs w:val="1"/>
          <w:color w:val="auto"/>
        </w:rPr>
        <w:t>(b)</w:t>
      </w:r>
      <w:r>
        <w:rPr>
          <w:rFonts w:ascii="Arial" w:cs="Arial" w:eastAsia="Arial" w:hAnsi="Arial"/>
          <w:sz w:val="13"/>
          <w:szCs w:val="13"/>
          <w:color w:val="auto"/>
        </w:rPr>
        <w:t>. RAS pathway activity in NSCLC NCI-H1734 KRAS</w:t>
      </w:r>
      <w:r>
        <w:rPr>
          <w:rFonts w:ascii="Arial" w:cs="Arial" w:eastAsia="Arial" w:hAnsi="Arial"/>
          <w:sz w:val="21"/>
          <w:szCs w:val="21"/>
          <w:color w:val="auto"/>
          <w:vertAlign w:val="superscript"/>
        </w:rPr>
        <w:t>G13C</w:t>
      </w:r>
      <w:r>
        <w:rPr>
          <w:rFonts w:ascii="Arial" w:cs="Arial" w:eastAsia="Arial" w:hAnsi="Arial"/>
          <w:sz w:val="13"/>
          <w:szCs w:val="13"/>
          <w:color w:val="auto"/>
        </w:rPr>
        <w:t xml:space="preserve"> cells was monitored in 2D cell 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Figures b and c represent the mean of duplicate determinations (error bars show the standard deviation) from a single study. Data are representative of at least two independent studies, each performed in duplicate.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64" w:lineRule="auto"/>
        <w:rPr>
          <w:sz w:val="20"/>
          <w:szCs w:val="20"/>
          <w:color w:val="auto"/>
        </w:rPr>
      </w:pPr>
      <w:r>
        <w:rPr>
          <w:rFonts w:ascii="Arial" w:cs="Arial" w:eastAsia="Arial" w:hAnsi="Arial"/>
          <w:sz w:val="18"/>
          <w:szCs w:val="18"/>
          <w:b w:val="1"/>
          <w:bCs w:val="1"/>
          <w:color w:val="auto"/>
        </w:rPr>
        <w:t>Figure 25</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(ON) tri-complex inhibitor RM-012 disrupts KRAS</w:t>
      </w:r>
      <w:r>
        <w:rPr>
          <w:rFonts w:ascii="Arial" w:cs="Arial" w:eastAsia="Arial" w:hAnsi="Arial"/>
          <w:sz w:val="11"/>
          <w:szCs w:val="11"/>
          <w:color w:val="auto"/>
        </w:rPr>
        <w:t>G12D</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G12D</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57150</wp:posOffset>
            </wp:positionV>
            <wp:extent cx="3883025" cy="2451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8302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182" w:lineRule="auto"/>
        <w:rPr>
          <w:sz w:val="20"/>
          <w:szCs w:val="20"/>
          <w:color w:val="auto"/>
        </w:rPr>
      </w:pPr>
      <w:r>
        <w:rPr>
          <w:rFonts w:ascii="Arial" w:cs="Arial" w:eastAsia="Arial" w:hAnsi="Arial"/>
          <w:sz w:val="13"/>
          <w:szCs w:val="13"/>
          <w:color w:val="auto"/>
        </w:rPr>
        <w:t>Surface representation of atomic resolution crystal structure of tri-complex of RM-012 with KRAS</w:t>
      </w:r>
      <w:r>
        <w:rPr>
          <w:rFonts w:ascii="Arial" w:cs="Arial" w:eastAsia="Arial" w:hAnsi="Arial"/>
          <w:sz w:val="21"/>
          <w:szCs w:val="21"/>
          <w:color w:val="auto"/>
          <w:vertAlign w:val="superscript"/>
        </w:rPr>
        <w:t>G12D</w:t>
      </w:r>
      <w:r>
        <w:rPr>
          <w:rFonts w:ascii="Arial" w:cs="Arial" w:eastAsia="Arial" w:hAnsi="Arial"/>
          <w:sz w:val="13"/>
          <w:szCs w:val="13"/>
          <w:color w:val="auto"/>
        </w:rPr>
        <w:t xml:space="preserve"> (loaded with a non-hydrolysable analog of GTP) and cyclophilin A </w:t>
      </w:r>
      <w:r>
        <w:rPr>
          <w:rFonts w:ascii="Arial" w:cs="Arial" w:eastAsia="Arial" w:hAnsi="Arial"/>
          <w:sz w:val="13"/>
          <w:szCs w:val="13"/>
          <w:b w:val="1"/>
          <w:bCs w:val="1"/>
          <w:color w:val="auto"/>
        </w:rPr>
        <w:t>(a)</w:t>
      </w:r>
      <w:r>
        <w:rPr>
          <w:rFonts w:ascii="Arial" w:cs="Arial" w:eastAsia="Arial" w:hAnsi="Arial"/>
          <w:sz w:val="13"/>
          <w:szCs w:val="13"/>
          <w:color w:val="auto"/>
        </w:rPr>
        <w:t>. Biochemical characterization of the effect of KRAS</w:t>
      </w:r>
      <w:r>
        <w:rPr>
          <w:rFonts w:ascii="Arial" w:cs="Arial" w:eastAsia="Arial" w:hAnsi="Arial"/>
          <w:sz w:val="21"/>
          <w:szCs w:val="21"/>
          <w:color w:val="auto"/>
          <w:vertAlign w:val="superscript"/>
        </w:rPr>
        <w:t>G12D</w:t>
      </w:r>
      <w:r>
        <w:rPr>
          <w:rFonts w:ascii="Arial" w:cs="Arial" w:eastAsia="Arial" w:hAnsi="Arial"/>
          <w:sz w:val="13"/>
          <w:szCs w:val="13"/>
          <w:color w:val="auto"/>
        </w:rPr>
        <w:t xml:space="preserve"> (ON) tri-complex inhibitor RM-012 on the interaction between KRAS</w:t>
      </w:r>
      <w:r>
        <w:rPr>
          <w:rFonts w:ascii="Arial" w:cs="Arial" w:eastAsia="Arial" w:hAnsi="Arial"/>
          <w:sz w:val="21"/>
          <w:szCs w:val="21"/>
          <w:color w:val="auto"/>
          <w:vertAlign w:val="superscript"/>
        </w:rPr>
        <w:t>G12D</w:t>
      </w:r>
      <w:r>
        <w:rPr>
          <w:rFonts w:ascii="Arial" w:cs="Arial" w:eastAsia="Arial" w:hAnsi="Arial"/>
          <w:sz w:val="13"/>
          <w:szCs w:val="13"/>
          <w:color w:val="auto"/>
        </w:rPr>
        <w:t xml:space="preserve"> (loaded with a non-hydrolysable analog of GTP) and the RAS binding domain (RBD) of BRAF was performed using a TR-FRET assay (RAS-RAF disruption) </w:t>
      </w:r>
      <w:r>
        <w:rPr>
          <w:rFonts w:ascii="Arial" w:cs="Arial" w:eastAsia="Arial" w:hAnsi="Arial"/>
          <w:sz w:val="13"/>
          <w:szCs w:val="13"/>
          <w:b w:val="1"/>
          <w:bCs w:val="1"/>
          <w:color w:val="auto"/>
        </w:rPr>
        <w:t>(b)</w:t>
      </w:r>
      <w:r>
        <w:rPr>
          <w:rFonts w:ascii="Arial" w:cs="Arial" w:eastAsia="Arial" w:hAnsi="Arial"/>
          <w:sz w:val="13"/>
          <w:szCs w:val="13"/>
          <w:color w:val="auto"/>
        </w:rPr>
        <w:t>. RAS pathway activity in pancreatic AsPC-1 KRAS</w:t>
      </w:r>
      <w:r>
        <w:rPr>
          <w:rFonts w:ascii="Arial" w:cs="Arial" w:eastAsia="Arial" w:hAnsi="Arial"/>
          <w:sz w:val="21"/>
          <w:szCs w:val="21"/>
          <w:color w:val="auto"/>
          <w:vertAlign w:val="superscript"/>
        </w:rPr>
        <w:t>G13C</w:t>
      </w:r>
      <w:r>
        <w:rPr>
          <w:rFonts w:ascii="Arial" w:cs="Arial" w:eastAsia="Arial" w:hAnsi="Arial"/>
          <w:sz w:val="13"/>
          <w:szCs w:val="13"/>
          <w:color w:val="auto"/>
        </w:rPr>
        <w:t xml:space="preserve"> cells was monitored in 2D cell 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Figures b and c represent the mean of duplicate determinations (error bars show the standard deviation) from a single study. Data in Figure c representative of at least two independent studies, each performed in duplicate.</w:t>
      </w:r>
    </w:p>
    <w:p>
      <w:pPr>
        <w:spacing w:after="0" w:line="76" w:lineRule="exact"/>
        <w:rPr>
          <w:sz w:val="20"/>
          <w:szCs w:val="20"/>
          <w:color w:val="auto"/>
        </w:rPr>
      </w:pPr>
    </w:p>
    <w:p>
      <w:pPr>
        <w:ind w:left="120" w:right="460"/>
        <w:spacing w:after="0" w:line="264" w:lineRule="auto"/>
        <w:rPr>
          <w:sz w:val="20"/>
          <w:szCs w:val="20"/>
          <w:color w:val="auto"/>
        </w:rPr>
      </w:pPr>
      <w:r>
        <w:rPr>
          <w:rFonts w:ascii="Arial" w:cs="Arial" w:eastAsia="Arial" w:hAnsi="Arial"/>
          <w:sz w:val="18"/>
          <w:szCs w:val="18"/>
          <w:b w:val="1"/>
          <w:bCs w:val="1"/>
          <w:color w:val="auto"/>
        </w:rPr>
        <w:t>Figure 26</w:t>
      </w:r>
      <w:r>
        <w:rPr>
          <w:rFonts w:ascii="Arial" w:cs="Arial" w:eastAsia="Arial" w:hAnsi="Arial"/>
          <w:sz w:val="18"/>
          <w:szCs w:val="18"/>
          <w:color w:val="auto"/>
        </w:rPr>
        <w:t>: NRAS</w:t>
      </w:r>
      <w:r>
        <w:rPr>
          <w:rFonts w:ascii="Arial" w:cs="Arial" w:eastAsia="Arial" w:hAnsi="Arial"/>
          <w:sz w:val="11"/>
          <w:szCs w:val="11"/>
          <w:color w:val="auto"/>
        </w:rPr>
        <w:t>G12C</w:t>
      </w:r>
      <w:r>
        <w:rPr>
          <w:rFonts w:ascii="Arial" w:cs="Arial" w:eastAsia="Arial" w:hAnsi="Arial"/>
          <w:sz w:val="18"/>
          <w:szCs w:val="18"/>
          <w:color w:val="auto"/>
        </w:rPr>
        <w:t>(ON) tri-complex inhibitor RM-007 disrupts NRAS</w:t>
      </w:r>
      <w:r>
        <w:rPr>
          <w:rFonts w:ascii="Arial" w:cs="Arial" w:eastAsia="Arial" w:hAnsi="Arial"/>
          <w:sz w:val="11"/>
          <w:szCs w:val="11"/>
          <w:color w:val="auto"/>
        </w:rPr>
        <w:t>G12C</w:t>
      </w:r>
      <w:r>
        <w:rPr>
          <w:rFonts w:ascii="Arial" w:cs="Arial" w:eastAsia="Arial" w:hAnsi="Arial"/>
          <w:sz w:val="18"/>
          <w:szCs w:val="18"/>
          <w:color w:val="auto"/>
        </w:rPr>
        <w:t>-RAF interaction;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NRAS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57150</wp:posOffset>
            </wp:positionV>
            <wp:extent cx="3429000" cy="23399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0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60"/>
        <w:spacing w:after="0" w:line="183" w:lineRule="auto"/>
        <w:rPr>
          <w:sz w:val="20"/>
          <w:szCs w:val="20"/>
          <w:color w:val="auto"/>
        </w:rPr>
      </w:pPr>
      <w:r>
        <w:rPr>
          <w:rFonts w:ascii="Arial" w:cs="Arial" w:eastAsia="Arial" w:hAnsi="Arial"/>
          <w:sz w:val="13"/>
          <w:szCs w:val="13"/>
          <w:color w:val="auto"/>
        </w:rPr>
        <w:t>Surface representation of atomic resolution crystal structure of tri-complex of RM-007 with NRAS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(loaded with a non-hydrolysable analog of GTP) and cyclophilin A </w:t>
      </w:r>
      <w:r>
        <w:rPr>
          <w:rFonts w:ascii="Arial" w:cs="Arial" w:eastAsia="Arial" w:hAnsi="Arial"/>
          <w:sz w:val="13"/>
          <w:szCs w:val="13"/>
          <w:b w:val="1"/>
          <w:bCs w:val="1"/>
          <w:color w:val="auto"/>
        </w:rPr>
        <w:t>(a)</w:t>
      </w:r>
      <w:r>
        <w:rPr>
          <w:rFonts w:ascii="Arial" w:cs="Arial" w:eastAsia="Arial" w:hAnsi="Arial"/>
          <w:sz w:val="13"/>
          <w:szCs w:val="13"/>
          <w:color w:val="auto"/>
        </w:rPr>
        <w:t>. Biochemical characterization of the effect of NRAS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(ON) tri-complex inhibitor RM-007 on the interaction between NRAS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(loaded with a non-hydrolysable analog of GTP) and the RAS binding domain (RBD) of BRAF was performed using a TR-FRET assay (RAS-RAF disruption) </w:t>
      </w:r>
      <w:r>
        <w:rPr>
          <w:rFonts w:ascii="Arial" w:cs="Arial" w:eastAsia="Arial" w:hAnsi="Arial"/>
          <w:sz w:val="13"/>
          <w:szCs w:val="13"/>
          <w:b w:val="1"/>
          <w:bCs w:val="1"/>
          <w:color w:val="auto"/>
        </w:rPr>
        <w:t>(b)</w:t>
      </w:r>
      <w:r>
        <w:rPr>
          <w:rFonts w:ascii="Arial" w:cs="Arial" w:eastAsia="Arial" w:hAnsi="Arial"/>
          <w:sz w:val="13"/>
          <w:szCs w:val="13"/>
          <w:color w:val="auto"/>
        </w:rPr>
        <w:t>. RAS pathway activity in AML P31-FUJ NRAS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cells was monitored in 2D cell cultures using levels of ERK1/2 phosphorylation at Thr202/Tyr204 (cellular pERK) </w:t>
      </w:r>
      <w:r>
        <w:rPr>
          <w:rFonts w:ascii="Arial" w:cs="Arial" w:eastAsia="Arial" w:hAnsi="Arial"/>
          <w:sz w:val="13"/>
          <w:szCs w:val="13"/>
          <w:b w:val="1"/>
          <w:bCs w:val="1"/>
          <w:color w:val="auto"/>
        </w:rPr>
        <w:t>(c)</w:t>
      </w:r>
      <w:r>
        <w:rPr>
          <w:rFonts w:ascii="Arial" w:cs="Arial" w:eastAsia="Arial" w:hAnsi="Arial"/>
          <w:sz w:val="13"/>
          <w:szCs w:val="13"/>
          <w:color w:val="auto"/>
        </w:rPr>
        <w:t>. Data shown in Figure b represent the mean of duplicate determinations (error bars show the standard deviation) from a single study. Data are representative of at least two independent studies, each performed in duplicate. Data shown in Figure c represent the mean of two independent studies, each performed in duplicate (error bars show the standard deviation).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Reduced susceptibility of RAS(ON) inhibitors to adaptive resistance mechanisms, such as RTK activation</w:t>
      </w:r>
    </w:p>
    <w:p>
      <w:pPr>
        <w:spacing w:after="0" w:line="122" w:lineRule="exact"/>
        <w:rPr>
          <w:sz w:val="20"/>
          <w:szCs w:val="20"/>
          <w:color w:val="auto"/>
        </w:rPr>
      </w:pPr>
    </w:p>
    <w:p>
      <w:pPr>
        <w:ind w:left="120" w:right="80"/>
        <w:spacing w:after="0" w:line="268" w:lineRule="auto"/>
        <w:rPr>
          <w:sz w:val="20"/>
          <w:szCs w:val="20"/>
          <w:color w:val="auto"/>
        </w:rPr>
      </w:pPr>
      <w:r>
        <w:rPr>
          <w:rFonts w:ascii="Arial" w:cs="Arial" w:eastAsia="Arial" w:hAnsi="Arial"/>
          <w:sz w:val="16"/>
          <w:szCs w:val="16"/>
          <w:color w:val="auto"/>
        </w:rPr>
        <w:t>In tumor cells that are addicted to high levels of RAS activation, we believe that selective inhibitors of RAS(ON) will suppress cell growth and survival and be less susceptible to adaptive resistance mechanisms recognized for RAS(OFF) inhibitors, specifically the KRAS</w:t>
      </w:r>
      <w:r>
        <w:rPr>
          <w:rFonts w:ascii="Arial" w:cs="Arial" w:eastAsia="Arial" w:hAnsi="Arial"/>
          <w:sz w:val="10"/>
          <w:szCs w:val="10"/>
          <w:color w:val="auto"/>
        </w:rPr>
        <w:t>G12C</w:t>
      </w:r>
      <w:r>
        <w:rPr>
          <w:rFonts w:ascii="Arial" w:cs="Arial" w:eastAsia="Arial" w:hAnsi="Arial"/>
          <w:sz w:val="16"/>
          <w:szCs w:val="16"/>
          <w:color w:val="auto"/>
        </w:rPr>
        <w:t>(OFF) inhibitors that are currently in early clinical development. KRAS</w:t>
      </w:r>
      <w:r>
        <w:rPr>
          <w:rFonts w:ascii="Arial" w:cs="Arial" w:eastAsia="Arial" w:hAnsi="Arial"/>
          <w:sz w:val="10"/>
          <w:szCs w:val="10"/>
          <w:color w:val="auto"/>
        </w:rPr>
        <w:t>G12C</w:t>
      </w:r>
      <w:r>
        <w:rPr>
          <w:rFonts w:ascii="Arial" w:cs="Arial" w:eastAsia="Arial" w:hAnsi="Arial"/>
          <w:sz w:val="16"/>
          <w:szCs w:val="16"/>
          <w:color w:val="auto"/>
        </w:rPr>
        <w:t>(OFF) inhibitors are susceptible to any cellular perturbations that reduce the intracellular pool of KRAS(OFF). Central to the differentiated profile of KRAS</w:t>
      </w:r>
      <w:r>
        <w:rPr>
          <w:rFonts w:ascii="Arial" w:cs="Arial" w:eastAsia="Arial" w:hAnsi="Arial"/>
          <w:sz w:val="10"/>
          <w:szCs w:val="10"/>
          <w:color w:val="auto"/>
        </w:rPr>
        <w:t>G12C</w:t>
      </w:r>
      <w:r>
        <w:rPr>
          <w:rFonts w:ascii="Arial" w:cs="Arial" w:eastAsia="Arial" w:hAnsi="Arial"/>
          <w:sz w:val="16"/>
          <w:szCs w:val="16"/>
          <w:color w:val="auto"/>
        </w:rPr>
        <w:t>(ON) inhibitors is their relative insensitivity to cellular mechanisms that activate KRAS</w:t>
      </w:r>
      <w:r>
        <w:rPr>
          <w:rFonts w:ascii="Arial" w:cs="Arial" w:eastAsia="Arial" w:hAnsi="Arial"/>
          <w:sz w:val="10"/>
          <w:szCs w:val="10"/>
          <w:color w:val="auto"/>
        </w:rPr>
        <w:t>G12C</w:t>
      </w:r>
      <w:r>
        <w:rPr>
          <w:rFonts w:ascii="Arial" w:cs="Arial" w:eastAsia="Arial" w:hAnsi="Arial"/>
          <w:sz w:val="16"/>
          <w:szCs w:val="16"/>
          <w:color w:val="auto"/>
        </w:rPr>
        <w:t xml:space="preserve"> and thereby increase the pool of KRAS</w:t>
      </w:r>
      <w:r>
        <w:rPr>
          <w:rFonts w:ascii="Arial" w:cs="Arial" w:eastAsia="Arial" w:hAnsi="Arial"/>
          <w:sz w:val="10"/>
          <w:szCs w:val="10"/>
          <w:color w:val="auto"/>
        </w:rPr>
        <w:t>G12C</w:t>
      </w:r>
      <w:r>
        <w:rPr>
          <w:rFonts w:ascii="Arial" w:cs="Arial" w:eastAsia="Arial" w:hAnsi="Arial"/>
          <w:sz w:val="16"/>
          <w:szCs w:val="16"/>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0"/>
          <w:szCs w:val="10"/>
          <w:color w:val="auto"/>
        </w:rPr>
        <w:t>G12C</w:t>
      </w:r>
      <w:r>
        <w:rPr>
          <w:rFonts w:ascii="Arial" w:cs="Arial" w:eastAsia="Arial" w:hAnsi="Arial"/>
          <w:sz w:val="16"/>
          <w:szCs w:val="16"/>
          <w:color w:val="auto"/>
        </w:rPr>
        <w:t>(OFF) inhibitors but has much less effect on cellular potency of KRAS</w:t>
      </w:r>
      <w:r>
        <w:rPr>
          <w:rFonts w:ascii="Arial" w:cs="Arial" w:eastAsia="Arial" w:hAnsi="Arial"/>
          <w:sz w:val="10"/>
          <w:szCs w:val="10"/>
          <w:color w:val="auto"/>
        </w:rPr>
        <w:t>G12C</w:t>
      </w:r>
      <w:r>
        <w:rPr>
          <w:rFonts w:ascii="Arial" w:cs="Arial" w:eastAsia="Arial" w:hAnsi="Arial"/>
          <w:sz w:val="16"/>
          <w:szCs w:val="16"/>
          <w:color w:val="auto"/>
        </w:rPr>
        <w:t>(ON) inhibitors (Figure 27). These findings corroborate a previous published report that KRAS</w:t>
      </w:r>
      <w:r>
        <w:rPr>
          <w:rFonts w:ascii="Arial" w:cs="Arial" w:eastAsia="Arial" w:hAnsi="Arial"/>
          <w:sz w:val="10"/>
          <w:szCs w:val="10"/>
          <w:color w:val="auto"/>
        </w:rPr>
        <w:t>G12C</w:t>
      </w:r>
      <w:r>
        <w:rPr>
          <w:rFonts w:ascii="Arial" w:cs="Arial" w:eastAsia="Arial" w:hAnsi="Arial"/>
          <w:sz w:val="16"/>
          <w:szCs w:val="16"/>
          <w:color w:val="auto"/>
        </w:rPr>
        <w:t xml:space="preserve"> target engagement by a representative KRAS</w:t>
      </w:r>
      <w:r>
        <w:rPr>
          <w:rFonts w:ascii="Arial" w:cs="Arial" w:eastAsia="Arial" w:hAnsi="Arial"/>
          <w:sz w:val="10"/>
          <w:szCs w:val="10"/>
          <w:color w:val="auto"/>
        </w:rPr>
        <w:t>G12C</w:t>
      </w:r>
      <w:r>
        <w:rPr>
          <w:rFonts w:ascii="Arial" w:cs="Arial" w:eastAsia="Arial" w:hAnsi="Arial"/>
          <w:sz w:val="16"/>
          <w:szCs w:val="16"/>
          <w:color w:val="auto"/>
        </w:rPr>
        <w:t>(OFF) inhibitor is significantly reduced by growth factor administration, consistent with the relative depletion of the therapeutic target.</w:t>
      </w:r>
    </w:p>
    <w:p>
      <w:pPr>
        <w:spacing w:after="0" w:line="59" w:lineRule="exact"/>
        <w:rPr>
          <w:sz w:val="20"/>
          <w:szCs w:val="20"/>
          <w:color w:val="auto"/>
        </w:rPr>
      </w:pPr>
    </w:p>
    <w:p>
      <w:pPr>
        <w:ind w:left="120" w:right="620"/>
        <w:spacing w:after="0" w:line="264" w:lineRule="auto"/>
        <w:rPr>
          <w:sz w:val="20"/>
          <w:szCs w:val="20"/>
          <w:color w:val="auto"/>
        </w:rPr>
      </w:pPr>
      <w:r>
        <w:rPr>
          <w:rFonts w:ascii="Arial" w:cs="Arial" w:eastAsia="Arial" w:hAnsi="Arial"/>
          <w:sz w:val="18"/>
          <w:szCs w:val="18"/>
          <w:b w:val="1"/>
          <w:bCs w:val="1"/>
          <w:color w:val="auto"/>
        </w:rPr>
        <w:t>Figure 27</w:t>
      </w:r>
      <w:r>
        <w:rPr>
          <w:rFonts w:ascii="Arial" w:cs="Arial" w:eastAsia="Arial" w:hAnsi="Arial"/>
          <w:sz w:val="18"/>
          <w:szCs w:val="18"/>
          <w:color w:val="auto"/>
        </w:rPr>
        <w:t>: Differential susceptibility of KRAS</w:t>
      </w:r>
      <w:r>
        <w:rPr>
          <w:rFonts w:ascii="Arial" w:cs="Arial" w:eastAsia="Arial" w:hAnsi="Arial"/>
          <w:sz w:val="11"/>
          <w:szCs w:val="11"/>
          <w:color w:val="auto"/>
        </w:rPr>
        <w:t>G12C</w:t>
      </w:r>
      <w:r>
        <w:rPr>
          <w:rFonts w:ascii="Arial" w:cs="Arial" w:eastAsia="Arial" w:hAnsi="Arial"/>
          <w:sz w:val="18"/>
          <w:szCs w:val="18"/>
          <w:color w:val="auto"/>
        </w:rPr>
        <w:t>(ON) and KRAS</w:t>
      </w:r>
      <w:r>
        <w:rPr>
          <w:rFonts w:ascii="Arial" w:cs="Arial" w:eastAsia="Arial" w:hAnsi="Arial"/>
          <w:sz w:val="11"/>
          <w:szCs w:val="11"/>
          <w:color w:val="auto"/>
        </w:rPr>
        <w:t>G12C</w:t>
      </w:r>
      <w:r>
        <w:rPr>
          <w:rFonts w:ascii="Arial" w:cs="Arial" w:eastAsia="Arial" w:hAnsi="Arial"/>
          <w:sz w:val="18"/>
          <w:szCs w:val="18"/>
          <w:color w:val="auto"/>
        </w:rPr>
        <w:t>(OFF) inhibitors to the effects of RTK activation, via growth factor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challenge, on inhibition of RAS pathway and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57150</wp:posOffset>
            </wp:positionV>
            <wp:extent cx="3086100" cy="2348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861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RAS pathway activity and cell proliferation in NSCLC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cancer cells were monitored in 2D cell cultures using levels of ERK1/2 phosphorylation at Thr202/Tyr204</w:t>
      </w:r>
    </w:p>
    <w:p>
      <w:pPr>
        <w:ind w:left="120"/>
        <w:spacing w:after="0"/>
        <w:rPr>
          <w:sz w:val="20"/>
          <w:szCs w:val="20"/>
          <w:color w:val="auto"/>
        </w:rPr>
      </w:pPr>
      <w:r>
        <w:rPr>
          <w:rFonts w:ascii="Arial" w:cs="Arial" w:eastAsia="Arial" w:hAnsi="Arial"/>
          <w:sz w:val="13"/>
          <w:szCs w:val="13"/>
          <w:color w:val="auto"/>
        </w:rPr>
        <w:t>after 4 hours of compound incubation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after 5 days of compound incubation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The effects of activation of EGFR and</w:t>
      </w:r>
    </w:p>
    <w:p>
      <w:pPr>
        <w:ind w:left="120"/>
        <w:spacing w:after="0" w:line="206" w:lineRule="auto"/>
        <w:rPr>
          <w:sz w:val="20"/>
          <w:szCs w:val="20"/>
          <w:color w:val="auto"/>
        </w:rPr>
      </w:pPr>
      <w:r>
        <w:rPr>
          <w:rFonts w:ascii="Arial" w:cs="Arial" w:eastAsia="Arial" w:hAnsi="Arial"/>
          <w:sz w:val="13"/>
          <w:szCs w:val="13"/>
          <w:color w:val="auto"/>
        </w:rPr>
        <w:t>MET receptor, by addition of growth factor ligands human EGF (hEGF) and human HGF (hHGF) (at their EC</w:t>
      </w:r>
      <w:r>
        <w:rPr>
          <w:rFonts w:ascii="Arial" w:cs="Arial" w:eastAsia="Arial" w:hAnsi="Arial"/>
          <w:sz w:val="11"/>
          <w:szCs w:val="11"/>
          <w:color w:val="auto"/>
        </w:rPr>
        <w:t>95</w:t>
      </w:r>
      <w:r>
        <w:rPr>
          <w:rFonts w:ascii="Arial" w:cs="Arial" w:eastAsia="Arial" w:hAnsi="Arial"/>
          <w:sz w:val="13"/>
          <w:szCs w:val="13"/>
          <w:color w:val="auto"/>
        </w:rPr>
        <w:t xml:space="preserve"> concentrations) respectively, on the inhibitory potency of the</w:t>
      </w:r>
    </w:p>
    <w:p>
      <w:pPr>
        <w:ind w:left="120"/>
        <w:spacing w:after="0" w:line="185" w:lineRule="auto"/>
        <w:rPr>
          <w:sz w:val="20"/>
          <w:szCs w:val="20"/>
          <w:color w:val="auto"/>
        </w:rPr>
      </w:pPr>
      <w:r>
        <w:rPr>
          <w:rFonts w:ascii="Arial" w:cs="Arial" w:eastAsia="Arial" w:hAnsi="Arial"/>
          <w:sz w:val="12"/>
          <w:szCs w:val="12"/>
          <w:color w:val="auto"/>
        </w:rPr>
        <w:t>KRAS</w:t>
      </w:r>
      <w:r>
        <w:rPr>
          <w:rFonts w:ascii="Arial" w:cs="Arial" w:eastAsia="Arial" w:hAnsi="Arial"/>
          <w:sz w:val="19"/>
          <w:szCs w:val="19"/>
          <w:color w:val="auto"/>
          <w:vertAlign w:val="superscript"/>
        </w:rPr>
        <w:t>G12C</w:t>
      </w:r>
      <w:r>
        <w:rPr>
          <w:rFonts w:ascii="Arial" w:cs="Arial" w:eastAsia="Arial" w:hAnsi="Arial"/>
          <w:sz w:val="12"/>
          <w:szCs w:val="12"/>
          <w:color w:val="auto"/>
        </w:rPr>
        <w:t>(ON) inhibitor RM-010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and KRAS</w:t>
      </w:r>
      <w:r>
        <w:rPr>
          <w:rFonts w:ascii="Arial" w:cs="Arial" w:eastAsia="Arial" w:hAnsi="Arial"/>
          <w:sz w:val="19"/>
          <w:szCs w:val="19"/>
          <w:color w:val="auto"/>
          <w:vertAlign w:val="superscript"/>
        </w:rPr>
        <w:t>G12C</w:t>
      </w:r>
      <w:r>
        <w:rPr>
          <w:rFonts w:ascii="Arial" w:cs="Arial" w:eastAsia="Arial" w:hAnsi="Arial"/>
          <w:sz w:val="12"/>
          <w:szCs w:val="12"/>
          <w:color w:val="auto"/>
        </w:rPr>
        <w:t>(OFF) inhibitor, MRTX1257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is shown. Data shown in Figures a, b, c and d represent the mean of two independent</w:t>
      </w:r>
    </w:p>
    <w:p>
      <w:pPr>
        <w:ind w:left="120"/>
        <w:spacing w:after="0"/>
        <w:rPr>
          <w:sz w:val="20"/>
          <w:szCs w:val="20"/>
          <w:color w:val="auto"/>
        </w:rPr>
      </w:pPr>
      <w:r>
        <w:rPr>
          <w:rFonts w:ascii="Arial" w:cs="Arial" w:eastAsia="Arial" w:hAnsi="Arial"/>
          <w:sz w:val="13"/>
          <w:szCs w:val="13"/>
          <w:color w:val="auto"/>
        </w:rPr>
        <w:t>studies, each performed in duplicate (error bars show the standard deviation).</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Furthermore, using long-term proliferation studies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monitor cell proliferation over time, and by extension the durability of inhibitor effect, we have shown that the KRAS</w:t>
      </w:r>
      <w:r>
        <w:rPr>
          <w:rFonts w:ascii="Arial" w:cs="Arial" w:eastAsia="Arial" w:hAnsi="Arial"/>
          <w:sz w:val="11"/>
          <w:szCs w:val="11"/>
          <w:color w:val="auto"/>
        </w:rPr>
        <w:t>G12C</w:t>
      </w:r>
      <w:r>
        <w:rPr>
          <w:rFonts w:ascii="Arial" w:cs="Arial" w:eastAsia="Arial" w:hAnsi="Arial"/>
          <w:sz w:val="18"/>
          <w:szCs w:val="18"/>
          <w:color w:val="auto"/>
        </w:rPr>
        <w:t>(ON) inhibitors produce more durable growth inhibition compared to KRAS</w:t>
      </w:r>
      <w:r>
        <w:rPr>
          <w:rFonts w:ascii="Arial" w:cs="Arial" w:eastAsia="Arial" w:hAnsi="Arial"/>
          <w:sz w:val="11"/>
          <w:szCs w:val="11"/>
          <w:color w:val="auto"/>
        </w:rPr>
        <w:t>G12C</w:t>
      </w:r>
      <w:r>
        <w:rPr>
          <w:rFonts w:ascii="Arial" w:cs="Arial" w:eastAsia="Arial" w:hAnsi="Arial"/>
          <w:sz w:val="18"/>
          <w:szCs w:val="18"/>
          <w:color w:val="auto"/>
        </w:rPr>
        <w:t>(OFF) inhibitors (Figure 28). These data highlight the relative insensitivity of KRAS</w:t>
      </w:r>
      <w:r>
        <w:rPr>
          <w:rFonts w:ascii="Arial" w:cs="Arial" w:eastAsia="Arial" w:hAnsi="Arial"/>
          <w:sz w:val="11"/>
          <w:szCs w:val="11"/>
          <w:color w:val="auto"/>
        </w:rPr>
        <w:t>G12C</w:t>
      </w:r>
      <w:r>
        <w:rPr>
          <w:rFonts w:ascii="Arial" w:cs="Arial" w:eastAsia="Arial" w:hAnsi="Arial"/>
          <w:sz w:val="18"/>
          <w:szCs w:val="18"/>
          <w:color w:val="auto"/>
        </w:rPr>
        <w:t xml:space="preserve">(ON) inhibitors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activity.</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28</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inhibitors on long term cell growth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8890</wp:posOffset>
            </wp:positionV>
            <wp:extent cx="2983230" cy="1560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98323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right="100"/>
        <w:spacing w:after="0" w:line="209" w:lineRule="auto"/>
        <w:rPr>
          <w:sz w:val="20"/>
          <w:szCs w:val="20"/>
          <w:color w:val="auto"/>
        </w:rPr>
      </w:pPr>
      <w:r>
        <w:rPr>
          <w:rFonts w:ascii="Arial" w:cs="Arial" w:eastAsia="Arial" w:hAnsi="Arial"/>
          <w:sz w:val="12"/>
          <w:szCs w:val="12"/>
          <w:color w:val="auto"/>
        </w:rPr>
        <w:t>NSCLC NCI-H358 KRAS</w:t>
      </w:r>
      <w:r>
        <w:rPr>
          <w:rFonts w:ascii="Arial" w:cs="Arial" w:eastAsia="Arial" w:hAnsi="Arial"/>
          <w:sz w:val="20"/>
          <w:szCs w:val="20"/>
          <w:color w:val="auto"/>
          <w:vertAlign w:val="superscript"/>
        </w:rPr>
        <w:t>G12C</w:t>
      </w:r>
      <w:r>
        <w:rPr>
          <w:rFonts w:ascii="Arial" w:cs="Arial" w:eastAsia="Arial" w:hAnsi="Arial"/>
          <w:sz w:val="12"/>
          <w:szCs w:val="12"/>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20"/>
          <w:szCs w:val="20"/>
          <w:color w:val="auto"/>
          <w:vertAlign w:val="superscript"/>
        </w:rPr>
        <w:t>G12C</w:t>
      </w:r>
      <w:r>
        <w:rPr>
          <w:rFonts w:ascii="Arial" w:cs="Arial" w:eastAsia="Arial" w:hAnsi="Arial"/>
          <w:sz w:val="12"/>
          <w:szCs w:val="12"/>
          <w:color w:val="auto"/>
        </w:rPr>
        <w:t>(OFF) (purple) or KRAS</w:t>
      </w:r>
      <w:r>
        <w:rPr>
          <w:rFonts w:ascii="Arial" w:cs="Arial" w:eastAsia="Arial" w:hAnsi="Arial"/>
          <w:sz w:val="20"/>
          <w:szCs w:val="20"/>
          <w:color w:val="auto"/>
          <w:vertAlign w:val="superscript"/>
        </w:rPr>
        <w:t>G12C</w:t>
      </w:r>
      <w:r>
        <w:rPr>
          <w:rFonts w:ascii="Arial" w:cs="Arial" w:eastAsia="Arial" w:hAnsi="Arial"/>
          <w:sz w:val="12"/>
          <w:szCs w:val="12"/>
          <w:color w:val="auto"/>
        </w:rPr>
        <w:t>(ON) (green) inhibitors at equi-efficacious concentrations, that is concentrations that produced 75% inhibition of proliferation in short-term growth studies. Under control conditions cells reached 100% confluence within ~ 10 days. Addition of the KRAS</w:t>
      </w:r>
      <w:r>
        <w:rPr>
          <w:rFonts w:ascii="Arial" w:cs="Arial" w:eastAsia="Arial" w:hAnsi="Arial"/>
          <w:sz w:val="20"/>
          <w:szCs w:val="20"/>
          <w:color w:val="auto"/>
          <w:vertAlign w:val="superscript"/>
        </w:rPr>
        <w:t>G12C</w:t>
      </w:r>
      <w:r>
        <w:rPr>
          <w:rFonts w:ascii="Arial" w:cs="Arial" w:eastAsia="Arial" w:hAnsi="Arial"/>
          <w:sz w:val="12"/>
          <w:szCs w:val="12"/>
          <w:color w:val="auto"/>
        </w:rPr>
        <w:t>(OFF) inhibitor tool compound, Mirati-11, inhibited cell growth, evident as an ~ 2-fold delay in the time to reach confluence (~ 20 days). In contrast, a representative KRAS</w:t>
      </w:r>
      <w:r>
        <w:rPr>
          <w:rFonts w:ascii="Arial" w:cs="Arial" w:eastAsia="Arial" w:hAnsi="Arial"/>
          <w:sz w:val="20"/>
          <w:szCs w:val="20"/>
          <w:color w:val="auto"/>
          <w:vertAlign w:val="superscript"/>
        </w:rPr>
        <w:t>G12C</w:t>
      </w:r>
      <w:r>
        <w:rPr>
          <w:rFonts w:ascii="Arial" w:cs="Arial" w:eastAsia="Arial" w:hAnsi="Arial"/>
          <w:sz w:val="12"/>
          <w:szCs w:val="12"/>
          <w:color w:val="auto"/>
        </w:rPr>
        <w:t>(ON) inhibitor (RM-007) caused a more sustained suppression of cell proliferation and confluence was not achieved during the time course of the experiment (~ 35 days). Data are from a single experiment, similar data have been obtained in another independent study.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Combination strategy for KRAS</w:t>
      </w:r>
      <w:r>
        <w:rPr>
          <w:rFonts w:ascii="Arial" w:cs="Arial" w:eastAsia="Arial" w:hAnsi="Arial"/>
          <w:sz w:val="11"/>
          <w:szCs w:val="11"/>
          <w:i w:val="1"/>
          <w:iCs w:val="1"/>
          <w:color w:val="auto"/>
        </w:rPr>
        <w:t>G12C</w:t>
      </w:r>
      <w:r>
        <w:rPr>
          <w:rFonts w:ascii="Arial" w:cs="Arial" w:eastAsia="Arial" w:hAnsi="Arial"/>
          <w:sz w:val="18"/>
          <w:szCs w:val="18"/>
          <w:i w:val="1"/>
          <w:iCs w:val="1"/>
          <w:color w:val="auto"/>
        </w:rPr>
        <w:t>(ON) inhibitors</w:t>
      </w:r>
    </w:p>
    <w:p>
      <w:pPr>
        <w:spacing w:after="0" w:line="12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combining a SHP2 inhibitor with a KRAS</w:t>
      </w:r>
      <w:r>
        <w:rPr>
          <w:rFonts w:ascii="Arial" w:cs="Arial" w:eastAsia="Arial" w:hAnsi="Arial"/>
          <w:sz w:val="11"/>
          <w:szCs w:val="11"/>
          <w:color w:val="auto"/>
        </w:rPr>
        <w:t>G12C</w:t>
      </w:r>
      <w:r>
        <w:rPr>
          <w:rFonts w:ascii="Arial" w:cs="Arial" w:eastAsia="Arial" w:hAnsi="Arial"/>
          <w:sz w:val="18"/>
          <w:szCs w:val="18"/>
          <w:color w:val="auto"/>
        </w:rPr>
        <w:t xml:space="preserve">(OFF) inhibitor. Using the long-term proliferation model, we observed robust combination benefit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from combining a SHP2 inhibitor and a KRAS</w:t>
      </w:r>
      <w:r>
        <w:rPr>
          <w:rFonts w:ascii="Arial" w:cs="Arial" w:eastAsia="Arial" w:hAnsi="Arial"/>
          <w:sz w:val="11"/>
          <w:szCs w:val="11"/>
          <w:color w:val="auto"/>
        </w:rPr>
        <w:t>G12C</w:t>
      </w:r>
      <w:r>
        <w:rPr>
          <w:rFonts w:ascii="Arial" w:cs="Arial" w:eastAsia="Arial" w:hAnsi="Arial"/>
          <w:sz w:val="18"/>
          <w:szCs w:val="18"/>
          <w:color w:val="auto"/>
        </w:rPr>
        <w:t>(ON) inhibitor. While the molecular mechanism(s) underlying this combinatorial benefit has not been fully established, the combination of SHP2 inhibition and KRAS</w:t>
      </w:r>
      <w:r>
        <w:rPr>
          <w:rFonts w:ascii="Arial" w:cs="Arial" w:eastAsia="Arial" w:hAnsi="Arial"/>
          <w:sz w:val="11"/>
          <w:szCs w:val="11"/>
          <w:color w:val="auto"/>
        </w:rPr>
        <w:t>G12C</w:t>
      </w:r>
      <w:r>
        <w:rPr>
          <w:rFonts w:ascii="Arial" w:cs="Arial" w:eastAsia="Arial" w:hAnsi="Arial"/>
          <w:sz w:val="18"/>
          <w:szCs w:val="18"/>
          <w:color w:val="auto"/>
        </w:rPr>
        <w:t>(ON) inhibitor does demonstrably increase apoptosis, or programmed cell death, in a KRAS</w:t>
      </w:r>
      <w:r>
        <w:rPr>
          <w:rFonts w:ascii="Arial" w:cs="Arial" w:eastAsia="Arial" w:hAnsi="Arial"/>
          <w:sz w:val="11"/>
          <w:szCs w:val="11"/>
          <w:color w:val="auto"/>
        </w:rPr>
        <w:t>G12C</w:t>
      </w:r>
      <w:r>
        <w:rPr>
          <w:rFonts w:ascii="Arial" w:cs="Arial" w:eastAsia="Arial" w:hAnsi="Arial"/>
          <w:sz w:val="18"/>
          <w:szCs w:val="18"/>
          <w:color w:val="auto"/>
        </w:rPr>
        <w:t xml:space="preserve">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Combination benefit was also observed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a SHP2 inhibitor and a KRAS</w:t>
      </w:r>
      <w:r>
        <w:rPr>
          <w:rFonts w:ascii="Arial" w:cs="Arial" w:eastAsia="Arial" w:hAnsi="Arial"/>
          <w:sz w:val="11"/>
          <w:szCs w:val="11"/>
          <w:color w:val="auto"/>
        </w:rPr>
        <w:t>G12C</w:t>
      </w:r>
      <w:r>
        <w:rPr>
          <w:rFonts w:ascii="Arial" w:cs="Arial" w:eastAsia="Arial" w:hAnsi="Arial"/>
          <w:sz w:val="18"/>
          <w:szCs w:val="18"/>
          <w:color w:val="auto"/>
        </w:rPr>
        <w:t>(ON) inhibitor (Figure 29).</w:t>
      </w:r>
    </w:p>
    <w:p>
      <w:pPr>
        <w:spacing w:after="0" w:line="79"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b w:val="1"/>
          <w:bCs w:val="1"/>
          <w:color w:val="auto"/>
        </w:rPr>
        <w:t xml:space="preserve">Figure 29: </w:t>
      </w:r>
      <w:r>
        <w:rPr>
          <w:rFonts w:ascii="Arial" w:cs="Arial" w:eastAsia="Arial" w:hAnsi="Arial"/>
          <w:sz w:val="18"/>
          <w:szCs w:val="18"/>
          <w:color w:val="auto"/>
        </w:rPr>
        <w:t>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SHP2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86360</wp:posOffset>
            </wp:positionV>
            <wp:extent cx="2545715" cy="18770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5715" cy="1877060"/>
                    </a:xfrm>
                    <a:prstGeom prst="rect">
                      <a:avLst/>
                    </a:prstGeom>
                    <a:noFill/>
                  </pic:spPr>
                </pic:pic>
              </a:graphicData>
            </a:graphic>
          </wp:anchor>
        </w:drawing>
      </w:r>
    </w:p>
    <w:p>
      <w:pPr>
        <w:spacing w:after="0" w:line="119" w:lineRule="exact"/>
        <w:rPr>
          <w:sz w:val="20"/>
          <w:szCs w:val="20"/>
          <w:color w:val="auto"/>
        </w:rPr>
      </w:pPr>
    </w:p>
    <w:p>
      <w:pPr>
        <w:ind w:left="120"/>
        <w:spacing w:after="0"/>
        <w:tabs>
          <w:tab w:leader="none" w:pos="58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63500</wp:posOffset>
            </wp:positionV>
            <wp:extent cx="2425700" cy="1482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570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right="80"/>
        <w:spacing w:after="0" w:line="251" w:lineRule="auto"/>
        <w:rPr>
          <w:sz w:val="20"/>
          <w:szCs w:val="20"/>
          <w:color w:val="auto"/>
        </w:rPr>
      </w:pPr>
      <w:r>
        <w:rPr>
          <w:rFonts w:ascii="Arial" w:cs="Arial" w:eastAsia="Arial" w:hAnsi="Arial"/>
          <w:sz w:val="13"/>
          <w:szCs w:val="13"/>
          <w:color w:val="auto"/>
        </w:rPr>
        <w:t>Anti-tumor activity of RM-011 (60 mg/kg, intravenous, once weekly; iv qw) and SHP2 inhibitor (RMC-4550) (30 mg/kg, oral, daily; po qd) as single agents or in combination in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w:t>
      </w:r>
    </w:p>
    <w:p>
      <w:pPr>
        <w:spacing w:after="0" w:line="2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320" w:top="459" w:right="5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3"/>
          <w:szCs w:val="13"/>
          <w:color w:val="auto"/>
        </w:rPr>
        <w:t>with tumor volume expressed as a 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76" w:lineRule="exact"/>
        <w:rPr>
          <w:sz w:val="20"/>
          <w:szCs w:val="20"/>
          <w:color w:val="auto"/>
        </w:rPr>
      </w:pPr>
    </w:p>
    <w:p>
      <w:pPr>
        <w:jc w:val="both"/>
        <w:ind w:left="120" w:right="200"/>
        <w:spacing w:after="0" w:line="283" w:lineRule="auto"/>
        <w:rPr>
          <w:sz w:val="20"/>
          <w:szCs w:val="20"/>
          <w:color w:val="auto"/>
        </w:rPr>
      </w:pPr>
      <w:r>
        <w:rPr>
          <w:rFonts w:ascii="Arial" w:cs="Arial" w:eastAsia="Arial" w:hAnsi="Arial"/>
          <w:sz w:val="16"/>
          <w:szCs w:val="16"/>
          <w:color w:val="auto"/>
        </w:rPr>
        <w:t>Another rational combination partner for a KRAS</w:t>
      </w:r>
      <w:r>
        <w:rPr>
          <w:rFonts w:ascii="Arial" w:cs="Arial" w:eastAsia="Arial" w:hAnsi="Arial"/>
          <w:sz w:val="10"/>
          <w:szCs w:val="10"/>
          <w:color w:val="auto"/>
        </w:rPr>
        <w:t>G12C</w:t>
      </w:r>
      <w:r>
        <w:rPr>
          <w:rFonts w:ascii="Arial" w:cs="Arial" w:eastAsia="Arial" w:hAnsi="Arial"/>
          <w:sz w:val="16"/>
          <w:szCs w:val="16"/>
          <w:color w:val="auto"/>
        </w:rPr>
        <w:t xml:space="preserve">(ON) inhibitor is a MEK inhibitor. In the long-term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proliferation model, dramatic combination benefit was demonstrated for a MEK inhibitor (trametinib) and a KRAS</w:t>
      </w:r>
      <w:r>
        <w:rPr>
          <w:rFonts w:ascii="Arial" w:cs="Arial" w:eastAsia="Arial" w:hAnsi="Arial"/>
          <w:sz w:val="10"/>
          <w:szCs w:val="10"/>
          <w:color w:val="auto"/>
        </w:rPr>
        <w:t>G12C</w:t>
      </w:r>
      <w:r>
        <w:rPr>
          <w:rFonts w:ascii="Arial" w:cs="Arial" w:eastAsia="Arial" w:hAnsi="Arial"/>
          <w:sz w:val="16"/>
          <w:szCs w:val="16"/>
          <w:color w:val="auto"/>
        </w:rPr>
        <w:t>(ON) inhibitor (Figure 30). Complete and sustained inhibition of cell growth and substantial cell death were observed. These effects are in contrast to the relatively rapid escape observed with the combination of a KRAS</w:t>
      </w:r>
      <w:r>
        <w:rPr>
          <w:rFonts w:ascii="Arial" w:cs="Arial" w:eastAsia="Arial" w:hAnsi="Arial"/>
          <w:sz w:val="10"/>
          <w:szCs w:val="10"/>
          <w:color w:val="auto"/>
        </w:rPr>
        <w:t>G12C</w:t>
      </w:r>
      <w:r>
        <w:rPr>
          <w:rFonts w:ascii="Arial" w:cs="Arial" w:eastAsia="Arial" w:hAnsi="Arial"/>
          <w:sz w:val="16"/>
          <w:szCs w:val="16"/>
          <w:color w:val="auto"/>
        </w:rPr>
        <w:t>(OFF) inhibitor and trametinib, in which cells reached full confluence within 20 days.</w:t>
      </w:r>
    </w:p>
    <w:p>
      <w:pPr>
        <w:spacing w:after="0" w:line="46" w:lineRule="exact"/>
        <w:rPr>
          <w:sz w:val="20"/>
          <w:szCs w:val="20"/>
          <w:color w:val="auto"/>
        </w:rPr>
      </w:pPr>
    </w:p>
    <w:p>
      <w:pPr>
        <w:ind w:left="120" w:right="40"/>
        <w:spacing w:after="0" w:line="264" w:lineRule="auto"/>
        <w:rPr>
          <w:sz w:val="20"/>
          <w:szCs w:val="20"/>
          <w:color w:val="auto"/>
        </w:rPr>
      </w:pPr>
      <w:r>
        <w:rPr>
          <w:rFonts w:ascii="Arial" w:cs="Arial" w:eastAsia="Arial" w:hAnsi="Arial"/>
          <w:sz w:val="18"/>
          <w:szCs w:val="18"/>
          <w:b w:val="1"/>
          <w:bCs w:val="1"/>
          <w:color w:val="auto"/>
        </w:rPr>
        <w:t>Figure 30</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 alone and in combination with MEK inhibitor, trametinib,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long term cell growth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86360</wp:posOffset>
            </wp:positionV>
            <wp:extent cx="3402965" cy="12515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0296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182" w:lineRule="auto"/>
        <w:rPr>
          <w:sz w:val="20"/>
          <w:szCs w:val="20"/>
          <w:color w:val="auto"/>
        </w:rPr>
      </w:pPr>
      <w:r>
        <w:rPr>
          <w:rFonts w:ascii="Arial" w:cs="Arial" w:eastAsia="Arial" w:hAnsi="Arial"/>
          <w:sz w:val="13"/>
          <w:szCs w:val="13"/>
          <w:color w:val="auto"/>
        </w:rPr>
        <w:t>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test articles. </w:t>
      </w:r>
      <w:r>
        <w:rPr>
          <w:rFonts w:ascii="Arial" w:cs="Arial" w:eastAsia="Arial" w:hAnsi="Arial"/>
          <w:sz w:val="13"/>
          <w:szCs w:val="13"/>
          <w:b w:val="1"/>
          <w:bCs w:val="1"/>
          <w:color w:val="auto"/>
        </w:rPr>
        <w:t>(a)</w:t>
      </w:r>
      <w:r>
        <w:rPr>
          <w:rFonts w:ascii="Arial" w:cs="Arial" w:eastAsia="Arial" w:hAnsi="Arial"/>
          <w:sz w:val="13"/>
          <w:szCs w:val="13"/>
          <w:color w:val="auto"/>
        </w:rPr>
        <w:t xml:space="preserve"> Addition of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(RM-007, dotted green line) produced a modest delay in the time for cells to reach 50% confluence, but the simultaneous addition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the MEK inhibitor trametinib (solid green line) caused complete inhibition of cell growth and no viable cells were apparent during the time course of the experiment (~ 35 days). </w:t>
      </w:r>
      <w:r>
        <w:rPr>
          <w:rFonts w:ascii="Arial" w:cs="Arial" w:eastAsia="Arial" w:hAnsi="Arial"/>
          <w:sz w:val="13"/>
          <w:szCs w:val="13"/>
          <w:b w:val="1"/>
          <w:bCs w:val="1"/>
          <w:color w:val="auto"/>
        </w:rPr>
        <w:t>(b)</w:t>
      </w:r>
      <w:r>
        <w:rPr>
          <w:rFonts w:ascii="Arial" w:cs="Arial" w:eastAsia="Arial" w:hAnsi="Arial"/>
          <w:sz w:val="13"/>
          <w:szCs w:val="13"/>
          <w:color w:val="auto"/>
        </w:rPr>
        <w:t xml:space="preserve"> Addition of a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 Data are from a single experiment, similar data have been obtained in another independent study.</w:t>
      </w:r>
    </w:p>
    <w:p>
      <w:pPr>
        <w:spacing w:after="0" w:line="99"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a representative KRAS</w:t>
      </w:r>
      <w:r>
        <w:rPr>
          <w:rFonts w:ascii="Arial" w:cs="Arial" w:eastAsia="Arial" w:hAnsi="Arial"/>
          <w:sz w:val="11"/>
          <w:szCs w:val="11"/>
          <w:color w:val="auto"/>
        </w:rPr>
        <w:t>G12C</w:t>
      </w:r>
      <w:r>
        <w:rPr>
          <w:rFonts w:ascii="Arial" w:cs="Arial" w:eastAsia="Arial" w:hAnsi="Arial"/>
          <w:sz w:val="18"/>
          <w:szCs w:val="18"/>
          <w:color w:val="auto"/>
        </w:rPr>
        <w:t>(OFF) inhibitor. In contrast, MEK inhibitor-induced activation of RAS does not antagonize the activity of a compound that inhibits KRAS</w:t>
      </w:r>
      <w:r>
        <w:rPr>
          <w:rFonts w:ascii="Arial" w:cs="Arial" w:eastAsia="Arial" w:hAnsi="Arial"/>
          <w:sz w:val="11"/>
          <w:szCs w:val="11"/>
          <w:color w:val="auto"/>
        </w:rPr>
        <w:t>G12C</w:t>
      </w:r>
      <w:r>
        <w:rPr>
          <w:rFonts w:ascii="Arial" w:cs="Arial" w:eastAsia="Arial" w:hAnsi="Arial"/>
          <w:sz w:val="18"/>
          <w:szCs w:val="18"/>
          <w:color w:val="auto"/>
        </w:rPr>
        <w:t>(ON) directly; rather, in this context the complementary mechanisms of the two agents can drive maximal pathway inhibition, which manifests as cell death.</w:t>
      </w:r>
    </w:p>
    <w:p>
      <w:pPr>
        <w:spacing w:after="0" w:line="83"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We also observed combination benefit for a KRAS</w:t>
      </w:r>
      <w:r>
        <w:rPr>
          <w:rFonts w:ascii="Arial" w:cs="Arial" w:eastAsia="Arial" w:hAnsi="Arial"/>
          <w:sz w:val="11"/>
          <w:szCs w:val="11"/>
          <w:color w:val="auto"/>
        </w:rPr>
        <w:t>G12C</w:t>
      </w:r>
      <w:r>
        <w:rPr>
          <w:rFonts w:ascii="Arial" w:cs="Arial" w:eastAsia="Arial" w:hAnsi="Arial"/>
          <w:sz w:val="18"/>
          <w:szCs w:val="18"/>
          <w:color w:val="auto"/>
        </w:rPr>
        <w:t xml:space="preserve">(ON) inhibitor and a MEK inhibitor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preclinical xenograft model of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31).</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64" w:lineRule="auto"/>
        <w:rPr>
          <w:sz w:val="20"/>
          <w:szCs w:val="20"/>
          <w:color w:val="auto"/>
        </w:rPr>
      </w:pPr>
      <w:r>
        <w:rPr>
          <w:rFonts w:ascii="Arial" w:cs="Arial" w:eastAsia="Arial" w:hAnsi="Arial"/>
          <w:sz w:val="18"/>
          <w:szCs w:val="18"/>
          <w:b w:val="1"/>
          <w:bCs w:val="1"/>
          <w:color w:val="auto"/>
        </w:rPr>
        <w:t>Figure 31</w:t>
      </w:r>
      <w:r>
        <w:rPr>
          <w:rFonts w:ascii="Arial" w:cs="Arial" w:eastAsia="Arial" w:hAnsi="Arial"/>
          <w:sz w:val="18"/>
          <w:szCs w:val="18"/>
          <w:color w:val="auto"/>
        </w:rPr>
        <w:t>: 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MEK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22"/>
          <w:szCs w:val="22"/>
          <w:b w:val="1"/>
          <w:bCs w:val="1"/>
          <w:color w:val="auto"/>
          <w:vertAlign w:val="superscript"/>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57150</wp:posOffset>
            </wp:positionV>
            <wp:extent cx="2503170" cy="17659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03170" cy="1765935"/>
                    </a:xfrm>
                    <a:prstGeom prst="rect">
                      <a:avLst/>
                    </a:prstGeom>
                    <a:noFill/>
                  </pic:spPr>
                </pic:pic>
              </a:graphicData>
            </a:graphic>
          </wp:anchor>
        </w:drawing>
      </w:r>
    </w:p>
    <w:p>
      <w:pPr>
        <w:spacing w:after="0" w:line="73" w:lineRule="exact"/>
        <w:rPr>
          <w:sz w:val="20"/>
          <w:szCs w:val="20"/>
          <w:color w:val="auto"/>
        </w:rPr>
      </w:pPr>
    </w:p>
    <w:p>
      <w:pPr>
        <w:ind w:left="120"/>
        <w:spacing w:after="0"/>
        <w:tabs>
          <w:tab w:leader="none" w:pos="5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12065</wp:posOffset>
            </wp:positionV>
            <wp:extent cx="2400300" cy="1465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0030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right="40"/>
        <w:spacing w:after="0" w:line="207" w:lineRule="auto"/>
        <w:rPr>
          <w:sz w:val="20"/>
          <w:szCs w:val="20"/>
          <w:color w:val="auto"/>
        </w:rPr>
      </w:pPr>
      <w:r>
        <w:rPr>
          <w:rFonts w:ascii="Arial" w:cs="Arial" w:eastAsia="Arial" w:hAnsi="Arial"/>
          <w:sz w:val="13"/>
          <w:szCs w:val="13"/>
          <w:color w:val="auto"/>
        </w:rPr>
        <w:t>Anti-tumor activity of RM-015 (50 mg/kg, intravenous, twice weekly; iv biw) and MEK inhibitor (cobimetinib) (2.5 mg/kg, oral, daily; po qd) as single agents or in combination in NSCLC CDX NCI-H358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 with tumor volume expressed as a 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Drug discovery, optimization and development strategy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Initially, we intend to prioritize four mutant RAS(ON) targets in our drug discovery efforts—KRAS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w:t>
      </w:r>
    </w:p>
    <w:p>
      <w:pPr>
        <w:ind w:left="120"/>
        <w:spacing w:after="0"/>
        <w:rPr>
          <w:sz w:val="20"/>
          <w:szCs w:val="20"/>
          <w:color w:val="auto"/>
        </w:rPr>
      </w:pPr>
      <w:r>
        <w:rPr>
          <w:rFonts w:ascii="Arial" w:cs="Arial" w:eastAsia="Arial" w:hAnsi="Arial"/>
          <w:sz w:val="18"/>
          <w:szCs w:val="18"/>
          <w:color w:val="auto"/>
        </w:rPr>
        <w:t>Our current RAS(ON) drug discovery programs are in either a lead generation or lead optimization stage.</w:t>
      </w:r>
    </w:p>
    <w:p>
      <w:pPr>
        <w:spacing w:after="0" w:line="10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 xml:space="preserve">Similarly to “Rule of 5” drug discovery programs in the lead generation stage, in the lead generation stage for our RAS(ON) targets, we prosecute iterative cycles of compound design, synthesis and testing in various assays to identify specific chemical features that contribute to desired characteristics, such as potent and durable inhibition of the target, selectivity for the target of interest, physicochemical properties (for example, solubility) that support formulation,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ADME (absorption, distribution, metabolism and excretion), intrinsic chemical stability, and tolerability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 lead optimization stage for our RAS(ON) targets involves further iterative cycles of compound design, synthesis and testing toward the goal of bringing these features together in individual compounds to meet development candidate profiles. As compounds advance through this process, they undergo progressive scrutiny through extensive preclinical tests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culminating in development candidate selection followed by IND-enabling studies conducted in accordance with regulatory guidelines.</w:t>
      </w:r>
    </w:p>
    <w:p>
      <w:pPr>
        <w:spacing w:after="0" w:line="78" w:lineRule="exact"/>
        <w:rPr>
          <w:sz w:val="20"/>
          <w:szCs w:val="20"/>
          <w:color w:val="auto"/>
        </w:rPr>
      </w:pPr>
    </w:p>
    <w:p>
      <w:pPr>
        <w:ind w:left="120" w:right="260"/>
        <w:spacing w:after="0" w:line="236" w:lineRule="auto"/>
        <w:rPr>
          <w:sz w:val="20"/>
          <w:szCs w:val="20"/>
          <w:color w:val="auto"/>
        </w:rPr>
      </w:pPr>
      <w:r>
        <w:rPr>
          <w:rFonts w:ascii="Arial" w:cs="Arial" w:eastAsia="Arial" w:hAnsi="Arial"/>
          <w:sz w:val="18"/>
          <w:szCs w:val="18"/>
          <w:color w:val="auto"/>
        </w:rPr>
        <w:t>These iterative design-make-test cycles can be more challenging for complex “Beyond Rule of 5” small molecules such as our tri-complex inhibitors, and we have developed tools, processes and know-how to support practical drug discovery of these types of molecules. As for conventional “Rule of 5” drug discovery programs, our compounds produced during lead generation or optimization stages are expected to have a diverse range of properties. Some of these compounds will not meet our candidate profile and will be rejected while others will fulfill some of the characteristics of our candidate profile, and the features of such compounds will be retained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 xml:space="preserve">where possible. To date approximately 2,000 different test compounds have been produced and characterized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with a subset of these characterized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rodents. The compounds reported in Figures 20, 21, 27 and 29 are examples of tri-complex KRAS(ON) inhibitors that have demonstrated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anti-tumor activity in xenograft models of human cancers in mice and were generally well-tolerated as indicated by either minimal or no body weight loss and an absence of observable gross abnormalities in these studies. We have also identified compounds with unfavorable properties such as low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potency for KRAS</w:t>
      </w:r>
      <w:r>
        <w:rPr>
          <w:rFonts w:ascii="Arial" w:cs="Arial" w:eastAsia="Arial" w:hAnsi="Arial"/>
          <w:sz w:val="10"/>
          <w:szCs w:val="10"/>
          <w:color w:val="auto"/>
        </w:rPr>
        <w:t>G12C</w:t>
      </w:r>
      <w:r>
        <w:rPr>
          <w:rFonts w:ascii="Arial" w:cs="Arial" w:eastAsia="Arial" w:hAnsi="Arial"/>
          <w:sz w:val="16"/>
          <w:szCs w:val="16"/>
          <w:color w:val="auto"/>
        </w:rPr>
        <w:t>(ON), cross-reactivity with one or more well-known safety targets, low solubility, poor ADME properties, including lack of oral bioavailability, and poor tolerability. Adverse effects have been observed following administration of high doses of some compounds to rodents by one or more routes of administration. As these effects were seen with only certain compounds and did not extend across all studies, doses or routes of administration, we do not believe there is a generalized liability of the tri-complex platform or chemical scaffolds underlying our RAS(ON) inhibitor programs.</w:t>
      </w:r>
    </w:p>
    <w:p>
      <w:pPr>
        <w:spacing w:after="0" w:line="79" w:lineRule="exact"/>
        <w:rPr>
          <w:sz w:val="20"/>
          <w:szCs w:val="20"/>
          <w:color w:val="auto"/>
        </w:rPr>
      </w:pPr>
    </w:p>
    <w:p>
      <w:pPr>
        <w:ind w:left="120" w:right="340"/>
        <w:spacing w:after="0" w:line="299" w:lineRule="auto"/>
        <w:rPr>
          <w:sz w:val="20"/>
          <w:szCs w:val="20"/>
          <w:color w:val="auto"/>
        </w:rPr>
      </w:pPr>
      <w:r>
        <w:rPr>
          <w:rFonts w:ascii="Arial" w:cs="Arial" w:eastAsia="Arial" w:hAnsi="Arial"/>
          <w:sz w:val="16"/>
          <w:szCs w:val="16"/>
          <w:color w:val="auto"/>
        </w:rPr>
        <w:t>We believe our multiparameter optimization efforts will yield candidates that meet our development candidate profiles to be advanced into IND-enabling studies and clinical studies as appropriate and we expect to nominate our first RAS(ON) development candidate in 2020.</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SOS1 program</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32).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163195</wp:posOffset>
            </wp:positionV>
            <wp:extent cx="4740275" cy="3215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4027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right="240"/>
        <w:spacing w:after="0" w:line="236" w:lineRule="auto"/>
        <w:rPr>
          <w:sz w:val="20"/>
          <w:szCs w:val="20"/>
          <w:color w:val="auto"/>
        </w:rPr>
      </w:pPr>
      <w:r>
        <w:rPr>
          <w:rFonts w:ascii="Arial" w:cs="Arial" w:eastAsia="Arial" w:hAnsi="Arial"/>
          <w:sz w:val="18"/>
          <w:szCs w:val="18"/>
          <w:color w:val="auto"/>
        </w:rPr>
        <w:t xml:space="preserve">We have designed and synthesized a number of potent and selective inhibitors of SOS1. The current focus of our lead optimization stage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 range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of genetically-defined cancers that are addicted to the RAS signaling pathway.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4EBP1/mTORC1 program</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Approximately two-thirds of breast cancers contain oncogenic mutations that hyper-activate mTORC1. We advanced RMC-5552 into IND-enabling development in June 2019.</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left="120" w:right="320"/>
        <w:spacing w:after="0" w:line="364" w:lineRule="auto"/>
        <w:rPr>
          <w:sz w:val="20"/>
          <w:szCs w:val="20"/>
          <w:color w:val="auto"/>
        </w:rPr>
      </w:pPr>
      <w:r>
        <w:rPr>
          <w:rFonts w:ascii="Arial" w:cs="Arial" w:eastAsia="Arial" w:hAnsi="Arial"/>
          <w:sz w:val="18"/>
          <w:szCs w:val="18"/>
          <w:color w:val="auto"/>
        </w:rPr>
        <w:t xml:space="preserve">RMC-5552 is a potent and selective inhibitor of mTORC1, that exhibits selectivity over mTORC2 and a broad panel of kinases (Figure 33). </w:t>
      </w:r>
      <w:r>
        <w:rPr>
          <w:rFonts w:ascii="Arial" w:cs="Arial" w:eastAsia="Arial" w:hAnsi="Arial"/>
          <w:sz w:val="18"/>
          <w:szCs w:val="18"/>
          <w:b w:val="1"/>
          <w:bCs w:val="1"/>
          <w:color w:val="auto"/>
        </w:rPr>
        <w:t>Figure 33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of RMC-5552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44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RMC-5552</w:t>
            </w: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Inhibition of mTORC1: pS6K</w:t>
            </w:r>
          </w:p>
        </w:tc>
        <w:tc>
          <w:tcPr>
            <w:tcW w:w="4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0.14 nM</w:t>
            </w: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Inhibition of mTORC1: p4EBP1</w:t>
            </w:r>
            <w:r>
              <w:rPr>
                <w:rFonts w:ascii="Arial" w:cs="Arial" w:eastAsia="Arial" w:hAnsi="Arial"/>
                <w:sz w:val="11"/>
                <w:szCs w:val="11"/>
                <w:color w:val="auto"/>
              </w:rPr>
              <w:t>1</w:t>
            </w:r>
          </w:p>
        </w:tc>
        <w:tc>
          <w:tcPr>
            <w:tcW w:w="4580" w:type="dxa"/>
            <w:vAlign w:val="bottom"/>
          </w:tcPr>
          <w:p>
            <w:pPr>
              <w:jc w:val="right"/>
              <w:spacing w:after="0" w:line="202" w:lineRule="exact"/>
              <w:rPr>
                <w:sz w:val="20"/>
                <w:szCs w:val="20"/>
                <w:color w:val="auto"/>
              </w:rPr>
            </w:pPr>
            <w:r>
              <w:rPr>
                <w:rFonts w:ascii="Arial" w:cs="Arial" w:eastAsia="Arial" w:hAnsi="Arial"/>
                <w:sz w:val="18"/>
                <w:szCs w:val="18"/>
                <w:color w:val="auto"/>
              </w:rPr>
              <w:t>0.48 nM</w:t>
            </w: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Selectivity over mTORC2: pAKT</w:t>
            </w:r>
            <w:r>
              <w:rPr>
                <w:rFonts w:ascii="Arial" w:cs="Arial" w:eastAsia="Arial" w:hAnsi="Arial"/>
                <w:sz w:val="11"/>
                <w:szCs w:val="11"/>
                <w:color w:val="auto"/>
              </w:rPr>
              <w:t>2</w:t>
            </w:r>
          </w:p>
        </w:tc>
        <w:tc>
          <w:tcPr>
            <w:tcW w:w="4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40X</w:t>
            </w:r>
          </w:p>
        </w:tc>
      </w:tr>
      <w:tr>
        <w:trPr>
          <w:trHeight w:val="203"/>
        </w:trPr>
        <w:tc>
          <w:tcPr>
            <w:tcW w:w="64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Selectivity over kinases: e.g., PI3K</w:t>
            </w:r>
            <w:r>
              <w:rPr>
                <w:rFonts w:ascii="Arial" w:cs="Arial" w:eastAsia="Arial" w:hAnsi="Arial"/>
                <w:sz w:val="11"/>
                <w:szCs w:val="11"/>
                <w:color w:val="auto"/>
              </w:rPr>
              <w:t>2</w:t>
            </w:r>
          </w:p>
        </w:tc>
        <w:tc>
          <w:tcPr>
            <w:tcW w:w="4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53X</w:t>
            </w:r>
          </w:p>
        </w:tc>
      </w:tr>
    </w:tbl>
    <w:p>
      <w:pPr>
        <w:spacing w:after="0" w:line="39" w:lineRule="exact"/>
        <w:rPr>
          <w:sz w:val="20"/>
          <w:szCs w:val="20"/>
          <w:color w:val="auto"/>
        </w:rPr>
      </w:pPr>
    </w:p>
    <w:p>
      <w:pPr>
        <w:ind w:left="120" w:right="60"/>
        <w:spacing w:after="0" w:line="214" w:lineRule="auto"/>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potency for RMC-5552 to inhibit phosphorylation of mTORC1 (pS6K and p4EBP1) and mTORC2 (pAKT) substrates was determined in MDA-MB-468 cells. Data represent mean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of at least two independent determinations. Selectivity over mTORC2 represents ratio of potency values for inhibition of AKT phosphorylation to inhibition of 4EBP1 phosphorylation. Selectivity over other kinases e.g. PI3K, represents ratio of potency values for inhibition of PI3K-alpha to mTORC1 in a biochemical, synthetic peptide phosphorylation assay. </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Rapamycin is not considered an inhibitor of 4EBP1 phosphorylation. </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Active site inhibitors are not considered selective over mTORC2 or other kinases.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In a xenograft model of human breast cancer in which an activating mutation in PIK3CA drives hyperactivation of the mTOR pathway, RMC-5552 inhibited tumor 4EBP1 phosphorylation at 48 hours-post intraperitoneal administration of a 3 mg/kg or 10 mg/kg dose by 71% and 63%, respectively. RMC-5552 induced significant regression of tumors when administered weekly via intraperitoneal injection at doses that were well tolerated (Figure 34).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 RMC-5552 drives tumor regressions in a preclinical xenograft model of breast cancer tumors harboring PIK3CA mutations.</w:t>
      </w:r>
    </w:p>
    <w:p>
      <w:pPr>
        <w:spacing w:after="0" w:line="10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PIK3CA</w:t>
      </w:r>
      <w:r>
        <w:rPr>
          <w:rFonts w:ascii="Arial" w:cs="Arial" w:eastAsia="Arial" w:hAnsi="Arial"/>
          <w:sz w:val="11"/>
          <w:szCs w:val="11"/>
          <w:b w:val="1"/>
          <w:bCs w:val="1"/>
          <w:color w:val="auto"/>
        </w:rPr>
        <w:t>E545K</w:t>
      </w:r>
      <w:r>
        <w:rPr>
          <w:rFonts w:ascii="Arial" w:cs="Arial" w:eastAsia="Arial" w:hAnsi="Arial"/>
          <w:sz w:val="18"/>
          <w:szCs w:val="18"/>
          <w:b w:val="1"/>
          <w:bCs w:val="1"/>
          <w:color w:val="auto"/>
        </w:rPr>
        <w:t xml:space="preserve"> , ER</w:t>
      </w:r>
      <w:r>
        <w:rPr>
          <w:rFonts w:ascii="Arial" w:cs="Arial" w:eastAsia="Arial" w:hAnsi="Arial"/>
          <w:sz w:val="11"/>
          <w:szCs w:val="11"/>
          <w:b w:val="1"/>
          <w:bCs w:val="1"/>
          <w:color w:val="auto"/>
        </w:rPr>
        <w:t>+</w:t>
      </w:r>
      <w:r>
        <w:rPr>
          <w:rFonts w:ascii="Arial" w:cs="Arial" w:eastAsia="Arial" w:hAnsi="Arial"/>
          <w:sz w:val="18"/>
          <w:szCs w:val="18"/>
          <w:b w:val="1"/>
          <w:bCs w:val="1"/>
          <w:color w:val="auto"/>
        </w:rPr>
        <w:t>/HER2</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86360</wp:posOffset>
            </wp:positionV>
            <wp:extent cx="4431665" cy="20656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43166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right="160"/>
        <w:spacing w:after="0" w:line="213" w:lineRule="auto"/>
        <w:rPr>
          <w:sz w:val="20"/>
          <w:szCs w:val="20"/>
          <w:color w:val="auto"/>
        </w:rPr>
      </w:pPr>
      <w:r>
        <w:rPr>
          <w:rFonts w:ascii="Arial" w:cs="Arial" w:eastAsia="Arial" w:hAnsi="Arial"/>
          <w:sz w:val="13"/>
          <w:szCs w:val="13"/>
          <w:color w:val="auto"/>
        </w:rPr>
        <w:t>Once weekly intraperitoneal administration of RMC-5552 (3 mg/kg, 10 mg/kg or 30 mg/kg ip qw) produces a dose-dependent inhibition of tumor growth in breast cancer MCF-7 ER-positive (ER</w:t>
      </w:r>
      <w:r>
        <w:rPr>
          <w:rFonts w:ascii="Arial" w:cs="Arial" w:eastAsia="Arial" w:hAnsi="Arial"/>
          <w:sz w:val="22"/>
          <w:szCs w:val="22"/>
          <w:color w:val="auto"/>
          <w:vertAlign w:val="superscript"/>
        </w:rPr>
        <w:t>+</w:t>
      </w:r>
      <w:r>
        <w:rPr>
          <w:rFonts w:ascii="Arial" w:cs="Arial" w:eastAsia="Arial" w:hAnsi="Arial"/>
          <w:sz w:val="13"/>
          <w:szCs w:val="13"/>
          <w:color w:val="auto"/>
        </w:rPr>
        <w:t>), HER2-negative (HER2-), PIK3CA</w:t>
      </w:r>
      <w:r>
        <w:rPr>
          <w:rFonts w:ascii="Arial" w:cs="Arial" w:eastAsia="Arial" w:hAnsi="Arial"/>
          <w:sz w:val="22"/>
          <w:szCs w:val="22"/>
          <w:color w:val="auto"/>
          <w:vertAlign w:val="superscript"/>
        </w:rPr>
        <w:t>E545K</w:t>
      </w:r>
      <w:r>
        <w:rPr>
          <w:rFonts w:ascii="Arial" w:cs="Arial" w:eastAsia="Arial" w:hAnsi="Arial"/>
          <w:sz w:val="13"/>
          <w:szCs w:val="13"/>
          <w:color w:val="auto"/>
        </w:rPr>
        <w:t xml:space="preserve"> cancer cell line-derived xenograft model in mice. Data represent tumor volume over time (a) and waterfall plots of individual end of study responses with tumor volume expressed as a percentage of initial tumor volume at time of study start (truncated at 400%) (b). Number of mice per group = 12. In (a) data represent mean, errors bars represent standard error of the mean. In (b) each animal is represented as a separate bar. Numbers indicate number of regressions (defined as &gt; 10% reduction in tumor volume from starting volume) in each group. Dotted line in panel (</w:t>
      </w:r>
      <w:r>
        <w:rPr>
          <w:rFonts w:ascii="Arial" w:cs="Arial" w:eastAsia="Arial" w:hAnsi="Arial"/>
          <w:sz w:val="13"/>
          <w:szCs w:val="13"/>
          <w:b w:val="1"/>
          <w:bCs w:val="1"/>
          <w:color w:val="auto"/>
        </w:rPr>
        <w:t>b)</w:t>
      </w:r>
      <w:r>
        <w:rPr>
          <w:rFonts w:ascii="Arial" w:cs="Arial" w:eastAsia="Arial" w:hAnsi="Arial"/>
          <w:sz w:val="13"/>
          <w:szCs w:val="13"/>
          <w:color w:val="auto"/>
        </w:rPr>
        <w:t xml:space="preserve"> references 50% reduction in tumor volume.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also tested RMC-5552 in the U87 cell line representing a human brain cancer, glioblastoma multiforme (Figure 35).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35</w:t>
      </w:r>
      <w:r>
        <w:rPr>
          <w:rFonts w:ascii="Arial" w:cs="Arial" w:eastAsia="Arial" w:hAnsi="Arial"/>
          <w:sz w:val="18"/>
          <w:szCs w:val="18"/>
          <w:color w:val="auto"/>
        </w:rPr>
        <w:t>: RMC-5552 prolongs survival in a preclinical xenograft model of glioblastoma multiforme harboring PTEN</w:t>
      </w:r>
      <w:r>
        <w:rPr>
          <w:rFonts w:ascii="Arial" w:cs="Arial" w:eastAsia="Arial" w:hAnsi="Arial"/>
          <w:sz w:val="11"/>
          <w:szCs w:val="11"/>
          <w:color w:val="auto"/>
        </w:rPr>
        <w:t>LOF</w:t>
      </w:r>
      <w:r>
        <w:rPr>
          <w:rFonts w:ascii="Arial" w:cs="Arial" w:eastAsia="Arial" w:hAnsi="Arial"/>
          <w:sz w:val="18"/>
          <w:szCs w:val="18"/>
          <w:color w:val="auto"/>
        </w:rPr>
        <w:t>.</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PTEN</w:t>
      </w:r>
      <w:r>
        <w:rPr>
          <w:rFonts w:ascii="Arial" w:cs="Arial" w:eastAsia="Arial" w:hAnsi="Arial"/>
          <w:sz w:val="11"/>
          <w:szCs w:val="11"/>
          <w:b w:val="1"/>
          <w:bCs w:val="1"/>
          <w:color w:val="auto"/>
        </w:rPr>
        <w:t>LOF</w:t>
      </w:r>
      <w:r>
        <w:rPr>
          <w:rFonts w:ascii="Arial" w:cs="Arial" w:eastAsia="Arial" w:hAnsi="Arial"/>
          <w:sz w:val="18"/>
          <w:szCs w:val="18"/>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86360</wp:posOffset>
            </wp:positionV>
            <wp:extent cx="3917315" cy="21259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1731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right="80"/>
        <w:spacing w:after="0" w:line="208" w:lineRule="auto"/>
        <w:rPr>
          <w:sz w:val="20"/>
          <w:szCs w:val="20"/>
          <w:color w:val="auto"/>
        </w:rPr>
      </w:pPr>
      <w:r>
        <w:rPr>
          <w:rFonts w:ascii="Arial" w:cs="Arial" w:eastAsia="Arial" w:hAnsi="Arial"/>
          <w:sz w:val="13"/>
          <w:szCs w:val="13"/>
          <w:color w:val="auto"/>
        </w:rPr>
        <w:t>Anti-tumor activity of RMC-5552 (3 mg/kg and 10 mg/kg once weekly intraperitoneal administration, ip qw), in a U87MG-Luc (PTEN</w:t>
      </w:r>
      <w:r>
        <w:rPr>
          <w:rFonts w:ascii="Arial" w:cs="Arial" w:eastAsia="Arial" w:hAnsi="Arial"/>
          <w:sz w:val="22"/>
          <w:szCs w:val="22"/>
          <w:color w:val="auto"/>
          <w:vertAlign w:val="superscript"/>
        </w:rPr>
        <w:t>LOF</w:t>
      </w:r>
      <w:r>
        <w:rPr>
          <w:rFonts w:ascii="Arial" w:cs="Arial" w:eastAsia="Arial" w:hAnsi="Arial"/>
          <w:sz w:val="13"/>
          <w:szCs w:val="13"/>
          <w:color w:val="auto"/>
        </w:rPr>
        <w:t>) orthotopic glioblastoma model in mice. Data represent Kaplan–Meier curves showing percentage of animals meeting the survival endpoint in each treatment group for the duration of the study, number of animals per group = 10. RMC-5552 (3 mg/kg and 10 mg/kg (ip, qw) is statistically significantly different from control (***p&lt;0.0001, Log-rank test).</w:t>
      </w:r>
    </w:p>
    <w:p>
      <w:pPr>
        <w:spacing w:after="0" w:line="99"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As described earlier, RAS-addicted cancer cells can develop adaptive resistance to RAS pathway inhibitors and lose sensitivity to treatment by hijacking other cell signaling circuitry to circumvent the inhibition. In some cases this may involve activation of the mTOR signaling cascade. We have observed combination benefit for an mTORC1 inhibitor with KRAS</w:t>
      </w:r>
      <w:r>
        <w:rPr>
          <w:rFonts w:ascii="Arial" w:cs="Arial" w:eastAsia="Arial" w:hAnsi="Arial"/>
          <w:sz w:val="11"/>
          <w:szCs w:val="11"/>
          <w:color w:val="auto"/>
        </w:rPr>
        <w:t>G12C</w:t>
      </w:r>
      <w:r>
        <w:rPr>
          <w:rFonts w:ascii="Arial" w:cs="Arial" w:eastAsia="Arial" w:hAnsi="Arial"/>
          <w:sz w:val="18"/>
          <w:szCs w:val="18"/>
          <w:color w:val="auto"/>
        </w:rPr>
        <w:t xml:space="preserve"> (ON) and (OFF) inhibitors in preclinical models of NSCLC and CRC cancers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36). In particular, STK11 loss-of-function mutations promote activation of mTORC1 and have been found as co-mutations in some human cancers carrying KRAS</w:t>
      </w:r>
      <w:r>
        <w:rPr>
          <w:rFonts w:ascii="Arial" w:cs="Arial" w:eastAsia="Arial" w:hAnsi="Arial"/>
          <w:sz w:val="11"/>
          <w:szCs w:val="11"/>
          <w:color w:val="auto"/>
        </w:rPr>
        <w:t>G12C</w:t>
      </w:r>
      <w:r>
        <w:rPr>
          <w:rFonts w:ascii="Arial" w:cs="Arial" w:eastAsia="Arial" w:hAnsi="Arial"/>
          <w:sz w:val="18"/>
          <w:szCs w:val="18"/>
          <w:color w:val="auto"/>
        </w:rPr>
        <w:t>. In a preclinical NSCLC tumor model harboring both KRAS</w:t>
      </w:r>
      <w:r>
        <w:rPr>
          <w:rFonts w:ascii="Arial" w:cs="Arial" w:eastAsia="Arial" w:hAnsi="Arial"/>
          <w:sz w:val="11"/>
          <w:szCs w:val="11"/>
          <w:color w:val="auto"/>
        </w:rPr>
        <w:t>G12C</w:t>
      </w:r>
      <w:r>
        <w:rPr>
          <w:rFonts w:ascii="Arial" w:cs="Arial" w:eastAsia="Arial" w:hAnsi="Arial"/>
          <w:sz w:val="18"/>
          <w:szCs w:val="18"/>
          <w:color w:val="auto"/>
        </w:rPr>
        <w:t xml:space="preserve"> and STK11 mutations, the combination of a selective bi-steric mTORC1 inhibitor (RM-006) with a KRAS</w:t>
      </w:r>
      <w:r>
        <w:rPr>
          <w:rFonts w:ascii="Arial" w:cs="Arial" w:eastAsia="Arial" w:hAnsi="Arial"/>
          <w:sz w:val="11"/>
          <w:szCs w:val="11"/>
          <w:color w:val="auto"/>
        </w:rPr>
        <w:t>G12C</w:t>
      </w:r>
      <w:r>
        <w:rPr>
          <w:rFonts w:ascii="Arial" w:cs="Arial" w:eastAsia="Arial" w:hAnsi="Arial"/>
          <w:sz w:val="18"/>
          <w:szCs w:val="18"/>
          <w:color w:val="auto"/>
        </w:rPr>
        <w:t>(OFF) inhibitor (AMG 510) induced tumor regressions, although neither compound alone displayed significant anti-tumor activity in this context (Figure 37). Further, STK11 mutations in NSCLC have been reported to be associated with poor clinical outcomes from checkpoint inhibitor (anti-PD1) therapy, highlighting their significance in the pathogenesis of some tumors.</w:t>
      </w:r>
    </w:p>
    <w:p>
      <w:pPr>
        <w:spacing w:after="0" w:line="10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These preclinical data support further evaluation of KRAS</w:t>
      </w:r>
      <w:r>
        <w:rPr>
          <w:rFonts w:ascii="Arial" w:cs="Arial" w:eastAsia="Arial" w:hAnsi="Arial"/>
          <w:sz w:val="11"/>
          <w:szCs w:val="11"/>
          <w:color w:val="auto"/>
        </w:rPr>
        <w:t>G12C</w:t>
      </w:r>
      <w:r>
        <w:rPr>
          <w:rFonts w:ascii="Arial" w:cs="Arial" w:eastAsia="Arial" w:hAnsi="Arial"/>
          <w:sz w:val="18"/>
          <w:szCs w:val="18"/>
          <w:color w:val="auto"/>
        </w:rPr>
        <w:t xml:space="preserve"> inhibitors in combination with RMC-5552, both preclinically and potentially clinically. Based on the strength of our preclinical studies, we advanced RMC-5552 into IND-enabling development in June 2019. We expect to be ready to submit an IND for RMC-5552 in 2020.</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9"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40"/>
        <w:spacing w:after="0" w:line="264" w:lineRule="auto"/>
        <w:rPr>
          <w:sz w:val="20"/>
          <w:szCs w:val="20"/>
          <w:color w:val="auto"/>
        </w:rPr>
      </w:pPr>
      <w:r>
        <w:rPr>
          <w:rFonts w:ascii="Arial" w:cs="Arial" w:eastAsia="Arial" w:hAnsi="Arial"/>
          <w:sz w:val="18"/>
          <w:szCs w:val="18"/>
          <w:b w:val="1"/>
          <w:bCs w:val="1"/>
          <w:color w:val="auto"/>
        </w:rPr>
        <w:t>Figure 36</w:t>
      </w:r>
      <w:r>
        <w:rPr>
          <w:rFonts w:ascii="Arial" w:cs="Arial" w:eastAsia="Arial" w:hAnsi="Arial"/>
          <w:sz w:val="18"/>
          <w:szCs w:val="18"/>
          <w:color w:val="auto"/>
        </w:rPr>
        <w:t>. Combination benefit for mTORC1 inhibitor with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inhibitors in preclinical models of cancers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680" w:type="dxa"/>
            <w:vAlign w:val="bottom"/>
          </w:tcPr>
          <w:p>
            <w:pPr>
              <w:ind w:left="2080"/>
              <w:spacing w:after="0"/>
              <w:rPr>
                <w:sz w:val="20"/>
                <w:szCs w:val="20"/>
                <w:color w:val="auto"/>
              </w:rPr>
            </w:pPr>
            <w:r>
              <w:rPr>
                <w:rFonts w:ascii="Arial" w:cs="Arial" w:eastAsia="Arial" w:hAnsi="Arial"/>
                <w:sz w:val="18"/>
                <w:szCs w:val="18"/>
                <w:b w:val="1"/>
                <w:bCs w:val="1"/>
                <w:color w:val="auto"/>
              </w:rPr>
              <w:t>NSCLC KRAS</w:t>
            </w:r>
            <w:r>
              <w:rPr>
                <w:rFonts w:ascii="Arial" w:cs="Arial" w:eastAsia="Arial" w:hAnsi="Arial"/>
                <w:sz w:val="11"/>
                <w:szCs w:val="11"/>
                <w:b w:val="1"/>
                <w:bCs w:val="1"/>
                <w:color w:val="auto"/>
              </w:rPr>
              <w:t>G12C</w:t>
            </w:r>
          </w:p>
        </w:tc>
        <w:tc>
          <w:tcPr>
            <w:tcW w:w="4360" w:type="dxa"/>
            <w:vAlign w:val="bottom"/>
          </w:tcPr>
          <w:p>
            <w:pPr>
              <w:ind w:left="3140"/>
              <w:spacing w:after="0"/>
              <w:rPr>
                <w:sz w:val="20"/>
                <w:szCs w:val="20"/>
                <w:color w:val="auto"/>
              </w:rPr>
            </w:pPr>
            <w:r>
              <w:rPr>
                <w:rFonts w:ascii="Arial" w:cs="Arial" w:eastAsia="Arial" w:hAnsi="Arial"/>
                <w:sz w:val="18"/>
                <w:szCs w:val="18"/>
                <w:b w:val="1"/>
                <w:bCs w:val="1"/>
                <w:color w:val="auto"/>
                <w:w w:val="96"/>
              </w:rPr>
              <w:t>CRC KRAS</w:t>
            </w:r>
            <w:r>
              <w:rPr>
                <w:rFonts w:ascii="Arial" w:cs="Arial" w:eastAsia="Arial" w:hAnsi="Arial"/>
                <w:sz w:val="11"/>
                <w:szCs w:val="11"/>
                <w:b w:val="1"/>
                <w:bCs w:val="1"/>
                <w:color w:val="auto"/>
                <w:w w:val="96"/>
              </w:rPr>
              <w:t>G12C</w:t>
            </w:r>
          </w:p>
        </w:tc>
      </w:tr>
      <w:tr>
        <w:trPr>
          <w:trHeight w:val="351"/>
        </w:trPr>
        <w:tc>
          <w:tcPr>
            <w:tcW w:w="4680" w:type="dxa"/>
            <w:vAlign w:val="bottom"/>
          </w:tcPr>
          <w:p>
            <w:pPr>
              <w:spacing w:after="0"/>
              <w:rPr>
                <w:sz w:val="20"/>
                <w:szCs w:val="20"/>
                <w:color w:val="auto"/>
              </w:rPr>
            </w:pPr>
            <w:r>
              <w:rPr>
                <w:rFonts w:ascii="Arial" w:cs="Arial" w:eastAsia="Arial" w:hAnsi="Arial"/>
                <w:sz w:val="18"/>
                <w:szCs w:val="18"/>
                <w:color w:val="auto"/>
              </w:rPr>
              <w:t>(a)</w:t>
            </w:r>
          </w:p>
        </w:tc>
        <w:tc>
          <w:tcPr>
            <w:tcW w:w="4360" w:type="dxa"/>
            <w:vAlign w:val="bottom"/>
          </w:tcPr>
          <w:p>
            <w:pPr>
              <w:ind w:left="1160"/>
              <w:spacing w:after="0"/>
              <w:rPr>
                <w:sz w:val="20"/>
                <w:szCs w:val="20"/>
                <w:color w:val="auto"/>
              </w:rPr>
            </w:pPr>
            <w:r>
              <w:rPr>
                <w:rFonts w:ascii="Arial" w:cs="Arial" w:eastAsia="Arial" w:hAnsi="Arial"/>
                <w:sz w:val="18"/>
                <w:szCs w:val="18"/>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69850</wp:posOffset>
            </wp:positionV>
            <wp:extent cx="2366010" cy="22713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6601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line="182" w:lineRule="auto"/>
        <w:rPr>
          <w:sz w:val="20"/>
          <w:szCs w:val="20"/>
          <w:color w:val="auto"/>
        </w:rPr>
      </w:pPr>
      <w:r>
        <w:rPr>
          <w:rFonts w:ascii="Arial" w:cs="Arial" w:eastAsia="Arial" w:hAnsi="Arial"/>
          <w:sz w:val="13"/>
          <w:szCs w:val="13"/>
          <w:color w:val="auto"/>
        </w:rPr>
        <w:t>Combination benefit between an mTORC1 inhibitor and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inhibitor was explored in NSCLC (a) and CRC (b) cancer cells harboring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mutations. a) Anti-tumor activity of mTORC1 inhibitor (RM-006 at 10 mg/kg, intraperitoneal, once weekly; ip qw) and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AMG 510 (5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waterfall plot of individual end of study responses, with tumor volume expressed as a percentage of initial tumor volume at time of study start (truncated at 450%). Number of mice per group = 10. Each animal is represented as a separate bar. Numbers indicate number of regressions (defined as &gt; 10% reduction in tumor volume from starting volume) in each group.</w:t>
      </w:r>
    </w:p>
    <w:p>
      <w:pPr>
        <w:spacing w:after="0" w:line="20" w:lineRule="exact"/>
        <w:rPr>
          <w:sz w:val="20"/>
          <w:szCs w:val="20"/>
          <w:color w:val="auto"/>
        </w:rPr>
      </w:pPr>
    </w:p>
    <w:p>
      <w:pPr>
        <w:ind w:left="120" w:right="20" w:hanging="4"/>
        <w:spacing w:after="0" w:line="182" w:lineRule="auto"/>
        <w:tabs>
          <w:tab w:leader="none" w:pos="278" w:val="left"/>
        </w:tabs>
        <w:numPr>
          <w:ilvl w:val="0"/>
          <w:numId w:val="73"/>
        </w:numPr>
        <w:rPr>
          <w:rFonts w:ascii="Arial" w:cs="Arial" w:eastAsia="Arial" w:hAnsi="Arial"/>
          <w:sz w:val="13"/>
          <w:szCs w:val="13"/>
          <w:color w:val="auto"/>
        </w:rPr>
      </w:pPr>
      <w:r>
        <w:rPr>
          <w:rFonts w:ascii="Arial" w:cs="Arial" w:eastAsia="Arial" w:hAnsi="Arial"/>
          <w:sz w:val="13"/>
          <w:szCs w:val="13"/>
          <w:color w:val="auto"/>
        </w:rPr>
        <w:t>CRC SW837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mTORC1 inhibitor (RM-006, 10 nM)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(RM-015, 1 µM). Incubation with the mTORC1 inhibitor (red)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(blue) alone delayed the time for the cells to reach 50 % confluence. However, the simultaneous addition of the two inhibitors caused complete inhibition of cell growth and no viable cells were apparent during the time course of the experiment (~ 35 days). Data are from a single experiment, similar data have been obtained in another independent study. RM-006 is a proprietary mTORC1 inhibitor tool compound.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64" w:lineRule="auto"/>
        <w:rPr>
          <w:sz w:val="20"/>
          <w:szCs w:val="20"/>
          <w:color w:val="auto"/>
        </w:rPr>
      </w:pPr>
      <w:r>
        <w:rPr>
          <w:rFonts w:ascii="Arial" w:cs="Arial" w:eastAsia="Arial" w:hAnsi="Arial"/>
          <w:sz w:val="18"/>
          <w:szCs w:val="18"/>
          <w:b w:val="1"/>
          <w:bCs w:val="1"/>
          <w:color w:val="auto"/>
        </w:rPr>
        <w:t>Figure 37</w:t>
      </w:r>
      <w:r>
        <w:rPr>
          <w:rFonts w:ascii="Arial" w:cs="Arial" w:eastAsia="Arial" w:hAnsi="Arial"/>
          <w:sz w:val="18"/>
          <w:szCs w:val="18"/>
          <w:color w:val="auto"/>
        </w:rPr>
        <w:t>: Combination benefit for mTORC1 inhibitor with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inhibitor in a preclinical NSCLC tumor model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STK11 mutations</w:t>
      </w:r>
    </w:p>
    <w:p>
      <w:pPr>
        <w:spacing w:after="0" w:line="7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NCI-H2122 NSCLC CDX (KRAS</w:t>
      </w:r>
      <w:r>
        <w:rPr>
          <w:rFonts w:ascii="Arial" w:cs="Arial" w:eastAsia="Arial" w:hAnsi="Arial"/>
          <w:sz w:val="11"/>
          <w:szCs w:val="11"/>
          <w:b w:val="1"/>
          <w:bCs w:val="1"/>
          <w:color w:val="auto"/>
        </w:rPr>
        <w:t>G12C</w:t>
      </w:r>
      <w:r>
        <w:rPr>
          <w:rFonts w:ascii="Arial" w:cs="Arial" w:eastAsia="Arial" w:hAnsi="Arial"/>
          <w:sz w:val="18"/>
          <w:szCs w:val="18"/>
          <w:b w:val="1"/>
          <w:bCs w:val="1"/>
          <w:color w:val="auto"/>
        </w:rPr>
        <w:t>; STK11</w:t>
      </w:r>
      <w:r>
        <w:rPr>
          <w:rFonts w:ascii="Arial" w:cs="Arial" w:eastAsia="Arial" w:hAnsi="Arial"/>
          <w:sz w:val="11"/>
          <w:szCs w:val="11"/>
          <w:b w:val="1"/>
          <w:bCs w:val="1"/>
          <w:color w:val="auto"/>
        </w:rPr>
        <w:t>mut</w:t>
      </w:r>
      <w:r>
        <w:rPr>
          <w:rFonts w:ascii="Arial" w:cs="Arial" w:eastAsia="Arial" w:hAnsi="Arial"/>
          <w:sz w:val="18"/>
          <w:szCs w:val="18"/>
          <w:b w:val="1"/>
          <w:bCs w:val="1"/>
          <w:color w:val="auto"/>
        </w:rPr>
        <w:t>)</w:t>
      </w:r>
    </w:p>
    <w:p>
      <w:pPr>
        <w:spacing w:after="0" w:line="166"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72390</wp:posOffset>
            </wp:positionV>
            <wp:extent cx="5897880" cy="1911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97880"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right="40"/>
        <w:spacing w:after="0" w:line="195" w:lineRule="auto"/>
        <w:rPr>
          <w:sz w:val="20"/>
          <w:szCs w:val="20"/>
          <w:color w:val="auto"/>
        </w:rPr>
      </w:pPr>
      <w:r>
        <w:rPr>
          <w:rFonts w:ascii="Arial" w:cs="Arial" w:eastAsia="Arial" w:hAnsi="Arial"/>
          <w:sz w:val="13"/>
          <w:szCs w:val="13"/>
          <w:color w:val="auto"/>
        </w:rPr>
        <w:t>Anti-tumor activity of mTORC1 inhibitor (RM-006 at 10 mg/kg, intraperitoneally, once weekly; ip qw) and KRAS</w:t>
      </w:r>
      <w:r>
        <w:rPr>
          <w:rFonts w:ascii="Arial" w:cs="Arial" w:eastAsia="Arial" w:hAnsi="Arial"/>
          <w:sz w:val="22"/>
          <w:szCs w:val="22"/>
          <w:color w:val="auto"/>
          <w:vertAlign w:val="superscript"/>
        </w:rPr>
        <w:t>G12C</w:t>
      </w:r>
      <w:r>
        <w:rPr>
          <w:rFonts w:ascii="Arial" w:cs="Arial" w:eastAsia="Arial" w:hAnsi="Arial"/>
          <w:sz w:val="13"/>
          <w:szCs w:val="13"/>
          <w:color w:val="auto"/>
        </w:rPr>
        <w:t>(OFF) inhibitor AMG 510 (100 mg/kg, oral, daily; po qd) as single agents or in combination in NSCLC CDX NCI-H2122 KRAS</w:t>
      </w:r>
      <w:r>
        <w:rPr>
          <w:rFonts w:ascii="Arial" w:cs="Arial" w:eastAsia="Arial" w:hAnsi="Arial"/>
          <w:sz w:val="22"/>
          <w:szCs w:val="22"/>
          <w:color w:val="auto"/>
          <w:vertAlign w:val="superscript"/>
        </w:rPr>
        <w:t>G12C</w:t>
      </w:r>
      <w:r>
        <w:rPr>
          <w:rFonts w:ascii="Arial" w:cs="Arial" w:eastAsia="Arial" w:hAnsi="Arial"/>
          <w:sz w:val="13"/>
          <w:szCs w:val="13"/>
          <w:color w:val="auto"/>
        </w:rPr>
        <w:t xml:space="preserve"> STK11</w:t>
      </w:r>
      <w:r>
        <w:rPr>
          <w:rFonts w:ascii="Arial" w:cs="Arial" w:eastAsia="Arial" w:hAnsi="Arial"/>
          <w:sz w:val="22"/>
          <w:szCs w:val="22"/>
          <w:color w:val="auto"/>
          <w:vertAlign w:val="superscript"/>
        </w:rPr>
        <w:t>mut</w:t>
      </w:r>
      <w:r>
        <w:rPr>
          <w:rFonts w:ascii="Arial" w:cs="Arial" w:eastAsia="Arial" w:hAnsi="Arial"/>
          <w:sz w:val="13"/>
          <w:szCs w:val="13"/>
          <w:color w:val="auto"/>
        </w:rPr>
        <w:t xml:space="preserve"> xenograft model in immune-deficient mice. Data represent mean tumor volume over time </w:t>
      </w:r>
      <w:r>
        <w:rPr>
          <w:rFonts w:ascii="Arial" w:cs="Arial" w:eastAsia="Arial" w:hAnsi="Arial"/>
          <w:sz w:val="13"/>
          <w:szCs w:val="13"/>
          <w:b w:val="1"/>
          <w:bCs w:val="1"/>
          <w:color w:val="auto"/>
        </w:rPr>
        <w:t>(a)</w:t>
      </w:r>
      <w:r>
        <w:rPr>
          <w:rFonts w:ascii="Arial" w:cs="Arial" w:eastAsia="Arial" w:hAnsi="Arial"/>
          <w:sz w:val="13"/>
          <w:szCs w:val="13"/>
          <w:color w:val="auto"/>
        </w:rPr>
        <w:t xml:space="preserve"> or waterfall plot of individual end of study responses, with tumor volume expressed as a percentage of initial tumor volume at time of study start (truncated at 300%) </w:t>
      </w:r>
      <w:r>
        <w:rPr>
          <w:rFonts w:ascii="Arial" w:cs="Arial" w:eastAsia="Arial" w:hAnsi="Arial"/>
          <w:sz w:val="13"/>
          <w:szCs w:val="13"/>
          <w:b w:val="1"/>
          <w:bCs w:val="1"/>
          <w:color w:val="auto"/>
        </w:rPr>
        <w:t>(b)</w:t>
      </w:r>
      <w:r>
        <w:rPr>
          <w:rFonts w:ascii="Arial" w:cs="Arial" w:eastAsia="Arial" w:hAnsi="Arial"/>
          <w:sz w:val="13"/>
          <w:szCs w:val="13"/>
          <w:color w:val="auto"/>
        </w:rPr>
        <w:t>. Number of mice per group = 10 unless noted. In (a) data represent mean and errors bars represent standard error of the mean. In (b) each animal is represented as a separate bar. Numbers indicate number of regressions (defined as &gt; 10% reduction in tumor volume from starting volume) in each group. RM-006 is a proprietary mTORC1 inhibitor tool compound.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Commercial plan</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120" w:right="80"/>
        <w:spacing w:after="0" w:line="275"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3"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0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01" w:lineRule="exact"/>
        <w:rPr>
          <w:sz w:val="20"/>
          <w:szCs w:val="20"/>
          <w:color w:val="auto"/>
        </w:rPr>
      </w:pPr>
    </w:p>
    <w:p>
      <w:pPr>
        <w:ind w:left="120" w:right="100"/>
        <w:spacing w:after="0" w:line="269" w:lineRule="auto"/>
        <w:rPr>
          <w:sz w:val="20"/>
          <w:szCs w:val="20"/>
          <w:color w:val="auto"/>
        </w:rPr>
      </w:pPr>
      <w:r>
        <w:rPr>
          <w:rFonts w:ascii="Arial" w:cs="Arial" w:eastAsia="Arial" w:hAnsi="Arial"/>
          <w:sz w:val="16"/>
          <w:szCs w:val="16"/>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60"/>
        <w:spacing w:after="0" w:line="239" w:lineRule="auto"/>
        <w:rPr>
          <w:sz w:val="20"/>
          <w:szCs w:val="20"/>
          <w:color w:val="auto"/>
        </w:rPr>
      </w:pPr>
      <w:r>
        <w:rPr>
          <w:rFonts w:ascii="Arial" w:cs="Arial" w:eastAsia="Arial" w:hAnsi="Arial"/>
          <w:sz w:val="18"/>
          <w:szCs w:val="18"/>
          <w:color w:val="auto"/>
        </w:rPr>
        <w:t>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In October 2018, we entered into an Agreement and Plan of Merger pursuant to which we acquired all outstanding shares of Warp Drive. In connection with the acquisition, we issued 6,797,915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120" w:right="600"/>
        <w:spacing w:after="0" w:line="275" w:lineRule="auto"/>
        <w:rPr>
          <w:sz w:val="20"/>
          <w:szCs w:val="20"/>
          <w:color w:val="auto"/>
        </w:rPr>
      </w:pPr>
      <w:r>
        <w:rPr>
          <w:rFonts w:ascii="Arial" w:cs="Arial" w:eastAsia="Arial" w:hAnsi="Arial"/>
          <w:sz w:val="16"/>
          <w:szCs w:val="16"/>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75"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Jacobio Pharmaceuticals Co. Ltd., and Relay Therapeutics, Inc. There are several RAS pathway mutations programs, including those directed at KRASG12C(OFF) and KRASG12D(OFF) mutations, including clinical programs directed at KRASG12C(OFF) being conducted by Amgen Inc., Mirati Therapeutics, Inc., Johnson &amp; Johnson, AstraZeneca plc and Eli Lilly &amp; Co. Other clinical programs directed at mutant RAS are being conducted by Merck &amp; Co./Moderna Therapeutics, Boehringer Ingelheim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06" w:lineRule="exact"/>
        <w:rPr>
          <w:sz w:val="20"/>
          <w:szCs w:val="20"/>
          <w:color w:val="auto"/>
        </w:rPr>
      </w:pPr>
    </w:p>
    <w:p>
      <w:pPr>
        <w:ind w:left="120" w:right="420"/>
        <w:spacing w:after="0" w:line="237" w:lineRule="auto"/>
        <w:rPr>
          <w:sz w:val="20"/>
          <w:szCs w:val="20"/>
          <w:color w:val="auto"/>
        </w:rPr>
      </w:pPr>
      <w:r>
        <w:rPr>
          <w:rFonts w:ascii="Arial" w:cs="Arial" w:eastAsia="Arial" w:hAnsi="Arial"/>
          <w:sz w:val="18"/>
          <w:szCs w:val="18"/>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Our success depends in part on our ability and the ability of our collaborators to obtain and maintain proprietary protection for our technology, programs, and know-how related to our business, defend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8"/>
          <w:szCs w:val="18"/>
          <w:color w:val="auto"/>
        </w:rPr>
        <w:t>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00" w:lineRule="exact"/>
        <w:rPr>
          <w:sz w:val="20"/>
          <w:szCs w:val="20"/>
          <w:color w:val="auto"/>
        </w:rPr>
      </w:pPr>
    </w:p>
    <w:p>
      <w:pPr>
        <w:ind w:left="120" w:right="140"/>
        <w:spacing w:after="0" w:line="235" w:lineRule="auto"/>
        <w:rPr>
          <w:sz w:val="20"/>
          <w:szCs w:val="20"/>
          <w:color w:val="auto"/>
        </w:rPr>
      </w:pPr>
      <w:r>
        <w:rPr>
          <w:rFonts w:ascii="Arial" w:cs="Arial" w:eastAsia="Arial" w:hAnsi="Arial"/>
          <w:sz w:val="18"/>
          <w:szCs w:val="18"/>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0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program-specific patent portfolio</w:t>
      </w:r>
    </w:p>
    <w:p>
      <w:pPr>
        <w:spacing w:after="0" w:line="124"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100" w:lineRule="exact"/>
        <w:rPr>
          <w:sz w:val="20"/>
          <w:szCs w:val="20"/>
          <w:color w:val="auto"/>
        </w:rPr>
      </w:pPr>
    </w:p>
    <w:p>
      <w:pPr>
        <w:ind w:left="120" w:right="120"/>
        <w:spacing w:after="0" w:line="235" w:lineRule="auto"/>
        <w:rPr>
          <w:sz w:val="20"/>
          <w:szCs w:val="20"/>
          <w:color w:val="auto"/>
        </w:rPr>
      </w:pPr>
      <w:r>
        <w:rPr>
          <w:rFonts w:ascii="Arial" w:cs="Arial" w:eastAsia="Arial" w:hAnsi="Arial"/>
          <w:sz w:val="18"/>
          <w:szCs w:val="18"/>
          <w:color w:val="auto"/>
        </w:rPr>
        <w:t>We own and co-own patent applications related to our SHP2 development program. As of March 31, 2020, our patent portfolio related to this program consists of ownership or co-ownership rights to one issued U.S. patent, five pending U.S. non-provisional patent applications, five pending applications under the Patent Cooperation Treaty, or PCT, and approximately 101 pending patent applications in other jurisdictions, including without limitation major markets such as Brazil, Canada, China, Europe, Japan, Mexico and South Korea, within eight total patent families that include patent applications covering compositions of matter or methods of using our clinical candidate, RMC-4630, alone or in combination with certain other therapeutic agents.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10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own or exclusively license patents and patent applications related to our 4EBP1/mTORC1 development program. As of March 31, 2020, our patent portfolio related to this program consists of ownership or the exclusive license of rights to one issued U.S. patent, four pending U.S. non-provisional patent applications, two pending PCT applications and 19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00" w:lineRule="exact"/>
        <w:rPr>
          <w:sz w:val="20"/>
          <w:szCs w:val="20"/>
          <w:color w:val="auto"/>
        </w:rPr>
      </w:pPr>
    </w:p>
    <w:p>
      <w:pPr>
        <w:ind w:left="120" w:right="20"/>
        <w:spacing w:after="0" w:line="269" w:lineRule="auto"/>
        <w:rPr>
          <w:sz w:val="20"/>
          <w:szCs w:val="20"/>
          <w:color w:val="auto"/>
        </w:rPr>
      </w:pPr>
      <w:r>
        <w:rPr>
          <w:rFonts w:ascii="Arial" w:cs="Arial" w:eastAsia="Arial" w:hAnsi="Arial"/>
          <w:sz w:val="16"/>
          <w:szCs w:val="16"/>
          <w:color w:val="auto"/>
        </w:rPr>
        <w:t>We own patents and patent applications related to our RAS tri-complex inhibitors and related platform technology. As of March 31, 2020, our patent portfolio related to this program consists of ownership rights to five issued U.S. patents, six pending U.S. non-provisional patent applications, one pending PCT applications and approximately twenty-seven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2040, without accounting for any applicable patent term adjustments or extensions.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24"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340" w:right="140" w:hanging="224"/>
        <w:spacing w:after="0" w:line="239"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where all supporting safety and toxicity studies are performed in accordance with the FDA’s Good Laboratory Practice, or GLP, regulations;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140" w:lineRule="exact"/>
        <w:rPr>
          <w:rFonts w:ascii="Arial" w:cs="Arial" w:eastAsia="Arial" w:hAnsi="Arial"/>
          <w:sz w:val="16"/>
          <w:szCs w:val="16"/>
          <w:color w:val="auto"/>
        </w:rPr>
      </w:pPr>
    </w:p>
    <w:p>
      <w:pPr>
        <w:ind w:left="340" w:right="120" w:hanging="224"/>
        <w:spacing w:after="0" w:line="239"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studies may begin and must be updated annually or when significant changes are made;</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a clinical study may be initiated;</w:t>
      </w:r>
    </w:p>
    <w:p>
      <w:pPr>
        <w:spacing w:after="0" w:line="117" w:lineRule="exact"/>
        <w:rPr>
          <w:rFonts w:ascii="Arial" w:cs="Arial" w:eastAsia="Arial" w:hAnsi="Arial"/>
          <w:sz w:val="18"/>
          <w:szCs w:val="18"/>
          <w:color w:val="auto"/>
        </w:rPr>
      </w:pPr>
    </w:p>
    <w:p>
      <w:pPr>
        <w:ind w:left="340" w:hanging="224"/>
        <w:spacing w:after="0" w:line="239"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product candidate for each proposed indication;</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340" w:right="220" w:hanging="224"/>
        <w:spacing w:after="0" w:line="238"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of the product for its particular labeled uses in the United States.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studies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Preclinical tests include laboratory (in vitro) evaluation of product chemistry, formulation and toxicity, as well as animal (in vivo)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80"/>
        <w:spacing w:after="0" w:line="239" w:lineRule="auto"/>
        <w:rPr>
          <w:sz w:val="20"/>
          <w:szCs w:val="20"/>
          <w:color w:val="auto"/>
        </w:rPr>
      </w:pPr>
      <w:r>
        <w:rPr>
          <w:rFonts w:ascii="Arial" w:cs="Arial" w:eastAsia="Arial" w:hAnsi="Arial"/>
          <w:sz w:val="18"/>
          <w:szCs w:val="18"/>
          <w:color w:val="auto"/>
        </w:rPr>
        <w:t>controls (CMC) and any available human data or literature to support use of the product in humans. Long-term preclinical tests, such as animal tests of reproductive toxicity and carcinogenicity, may continue after the IND is submitted.</w:t>
      </w:r>
    </w:p>
    <w:p>
      <w:pPr>
        <w:spacing w:after="0" w:line="10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0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00"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114" w:lineRule="exact"/>
        <w:rPr>
          <w:sz w:val="20"/>
          <w:szCs w:val="20"/>
          <w:color w:val="auto"/>
        </w:rPr>
      </w:pPr>
    </w:p>
    <w:p>
      <w:pPr>
        <w:ind w:left="340" w:right="180" w:hanging="224"/>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into patients with the target disease or condition. These studies are designed to evaluate the safety, dosage tolerance, metabolism and pharmacologic actions of the drug in humans, the side effects associated with increasing doses, and if possible, to gain early evidence on effectiveness.</w:t>
      </w:r>
    </w:p>
    <w:p>
      <w:pPr>
        <w:spacing w:after="0" w:line="113" w:lineRule="exact"/>
        <w:rPr>
          <w:rFonts w:ascii="Arial" w:cs="Arial" w:eastAsia="Arial" w:hAnsi="Arial"/>
          <w:sz w:val="18"/>
          <w:szCs w:val="18"/>
          <w:color w:val="auto"/>
        </w:rPr>
      </w:pPr>
    </w:p>
    <w:p>
      <w:pPr>
        <w:ind w:left="340" w:right="160" w:hanging="224"/>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2. The drug is administered to a limited patient population to evaluate tolerance and optimal dose, identify possible adverse side effects and safety risks, and preliminarily evaluate efficacy. Multiple Phase 2 trials may be conducted to obtain additional data prior to beginning Phase 3 trials.</w:t>
      </w:r>
    </w:p>
    <w:p>
      <w:pPr>
        <w:spacing w:after="0" w:line="113" w:lineRule="exact"/>
        <w:rPr>
          <w:rFonts w:ascii="Arial" w:cs="Arial" w:eastAsia="Arial" w:hAnsi="Arial"/>
          <w:sz w:val="18"/>
          <w:szCs w:val="18"/>
          <w:color w:val="auto"/>
        </w:rPr>
      </w:pPr>
    </w:p>
    <w:p>
      <w:pPr>
        <w:ind w:left="340" w:right="180" w:hanging="224"/>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study sites to generate enough data to statistically evaluate dosage, clinical effectiveness and safety, to establish the overall benefit-risk relationship of the investigational product and to provide an adequate basis for product approval.</w:t>
      </w:r>
    </w:p>
    <w:p>
      <w:pPr>
        <w:spacing w:after="0" w:line="113" w:lineRule="exact"/>
        <w:rPr>
          <w:rFonts w:ascii="Arial" w:cs="Arial" w:eastAsia="Arial" w:hAnsi="Arial"/>
          <w:sz w:val="18"/>
          <w:szCs w:val="18"/>
          <w:color w:val="auto"/>
        </w:rPr>
      </w:pPr>
    </w:p>
    <w:p>
      <w:pPr>
        <w:ind w:left="340" w:right="80" w:hanging="224"/>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Phase 4. In some cases, the FDA may condition approval of an NDA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spacing w:after="0" w:line="238"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 The sponsor may also suspend or terminate a clinical study based on evolving business objectives and/or competitive climate.</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Concurrent with clinical trials, companies may complete additional in vivo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Submission of an NDA to the FDA</w:t>
      </w:r>
    </w:p>
    <w:p>
      <w:pPr>
        <w:spacing w:after="0" w:line="122" w:lineRule="exact"/>
        <w:rPr>
          <w:sz w:val="20"/>
          <w:szCs w:val="20"/>
          <w:color w:val="auto"/>
        </w:rPr>
      </w:pPr>
    </w:p>
    <w:p>
      <w:pPr>
        <w:ind w:left="120" w:right="48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02"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01" w:lineRule="exact"/>
        <w:rPr>
          <w:sz w:val="20"/>
          <w:szCs w:val="20"/>
          <w:color w:val="auto"/>
        </w:rPr>
      </w:pPr>
    </w:p>
    <w:p>
      <w:pPr>
        <w:ind w:left="120" w:right="100"/>
        <w:spacing w:after="0" w:line="299" w:lineRule="auto"/>
        <w:rPr>
          <w:sz w:val="20"/>
          <w:szCs w:val="20"/>
          <w:color w:val="auto"/>
        </w:rPr>
      </w:pPr>
      <w:r>
        <w:rPr>
          <w:rFonts w:ascii="Arial" w:cs="Arial" w:eastAsia="Arial" w:hAnsi="Arial"/>
          <w:sz w:val="16"/>
          <w:szCs w:val="16"/>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55"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01" w:lineRule="exact"/>
        <w:rPr>
          <w:sz w:val="20"/>
          <w:szCs w:val="20"/>
          <w:color w:val="auto"/>
        </w:rPr>
      </w:pPr>
    </w:p>
    <w:p>
      <w:pPr>
        <w:ind w:left="120"/>
        <w:spacing w:after="0" w:line="271" w:lineRule="auto"/>
        <w:rPr>
          <w:sz w:val="20"/>
          <w:szCs w:val="20"/>
          <w:color w:val="auto"/>
        </w:rPr>
      </w:pPr>
      <w:r>
        <w:rPr>
          <w:rFonts w:ascii="Arial" w:cs="Arial" w:eastAsia="Arial" w:hAnsi="Arial"/>
          <w:sz w:val="16"/>
          <w:szCs w:val="16"/>
          <w:color w:val="auto"/>
        </w:rPr>
        <w:t>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7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one or more of which may be available for our current or future products.</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120" w:right="260"/>
        <w:spacing w:after="0" w:line="237"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0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We intend to pursue orphan drug designation with respect to oncology indications, as appropriate, with the potential to obtain orphan drug exclusivity for our products, if approved.</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01"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02"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22"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Under the Pediatric Research Equity Act, or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06"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Post-approval requirements</w:t>
      </w:r>
    </w:p>
    <w:p>
      <w:pPr>
        <w:spacing w:after="0" w:line="122"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1"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24"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(as defined by statute) and teaching hospitals, and applicable manufacturers and applicable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 midwives.</w:t>
      </w:r>
    </w:p>
    <w:p>
      <w:pPr>
        <w:spacing w:after="0" w:line="10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4" w:lineRule="exact"/>
        <w:rPr>
          <w:sz w:val="20"/>
          <w:szCs w:val="20"/>
          <w:color w:val="auto"/>
        </w:rPr>
      </w:pPr>
    </w:p>
    <w:p>
      <w:pPr>
        <w:jc w:val="both"/>
        <w:ind w:left="120" w:right="280"/>
        <w:spacing w:after="0" w:line="275" w:lineRule="auto"/>
        <w:rPr>
          <w:sz w:val="20"/>
          <w:szCs w:val="20"/>
          <w:color w:val="auto"/>
        </w:rPr>
      </w:pPr>
      <w:r>
        <w:rPr>
          <w:rFonts w:ascii="Arial" w:cs="Arial" w:eastAsia="Arial" w:hAnsi="Arial"/>
          <w:sz w:val="16"/>
          <w:szCs w:val="16"/>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went into 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82"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 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00"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Decreases in third-party reimbursement for any product or a decision by a third-party payor not to cover a product could reduce physician usage and patient demand for the product.</w:t>
      </w:r>
    </w:p>
    <w:p>
      <w:pPr>
        <w:spacing w:after="0" w:line="101"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4" w:lineRule="exact"/>
        <w:rPr>
          <w:sz w:val="20"/>
          <w:szCs w:val="20"/>
          <w:color w:val="auto"/>
        </w:rPr>
      </w:pPr>
    </w:p>
    <w:p>
      <w:pPr>
        <w:ind w:left="120" w:right="40"/>
        <w:spacing w:after="0" w:line="267"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89" w:lineRule="exact"/>
        <w:rPr>
          <w:sz w:val="20"/>
          <w:szCs w:val="20"/>
          <w:color w:val="auto"/>
        </w:rPr>
      </w:pPr>
    </w:p>
    <w:p>
      <w:pPr>
        <w:ind w:left="120"/>
        <w:spacing w:after="0" w:line="26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or the TCJA,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TJCA,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United States Supreme Court granted the petitions for writs of certiorari to review this case, although it is unclear how and when the Supreme Court will rule. It is also unclear how other efforts to challenge, repeal or replace the ACA will impact the ACA.</w:t>
      </w:r>
    </w:p>
    <w:p>
      <w:pPr>
        <w:spacing w:after="0" w:line="78" w:lineRule="exact"/>
        <w:rPr>
          <w:sz w:val="20"/>
          <w:szCs w:val="20"/>
          <w:color w:val="auto"/>
        </w:rPr>
      </w:pPr>
    </w:p>
    <w:p>
      <w:pPr>
        <w:ind w:left="120" w:right="720"/>
        <w:spacing w:after="0" w:line="239"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Medicare providers, which will remain in effect through 2029 absent additional congressional action. The Coronavirus Aid, Relief, and Economic Security Act, or CARES Act, suspended these Medicare sequester reductions from May 1, 2020 through December 31, 2020 due to the COVID-19 pandemic, and extended the sequester by one year, through 2030.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As of March 31, 2020, we had 100 full-time employees. 54 of our employees have M.D. or Ph.D. degrees. Within our workforce, as of March 31, 2020, 84 employees were engaged in research and development and 16 were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ind w:left="120" w:right="220"/>
        <w:spacing w:after="0" w:line="237" w:lineRule="auto"/>
        <w:rPr>
          <w:sz w:val="20"/>
          <w:szCs w:val="20"/>
          <w:color w:val="auto"/>
        </w:rPr>
      </w:pPr>
      <w:r>
        <w:rPr>
          <w:rFonts w:ascii="Arial" w:cs="Arial" w:eastAsia="Arial" w:hAnsi="Arial"/>
          <w:sz w:val="18"/>
          <w:szCs w:val="18"/>
          <w:color w:val="auto"/>
        </w:rPr>
        <w:t>Our corporate headquarters is located in Redwood City, California, where we lease and occupy approximately 61,000 square feet of office and laboratory space. The term of our Redwood City lease expires in December 2030, with an option to extend the term through December 2040. We have subleased approximately 9,700 of our Redwood City lease to AtriCure, Inc. The current term of this sublease expires in December 2020.</w:t>
      </w:r>
    </w:p>
    <w:p>
      <w:pPr>
        <w:spacing w:after="0" w:line="100"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69"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8"/>
          <w:szCs w:val="18"/>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Description of capital stock</w:t>
      </w:r>
    </w:p>
    <w:p>
      <w:pPr>
        <w:spacing w:after="0" w:line="139"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i w:val="1"/>
          <w:iCs w:val="1"/>
          <w:color w:val="auto"/>
        </w:rPr>
        <w:t>The following summary describes our capital stock and certain provisions of our amended and restated certificate of incorporation and our amended and restated bylaws,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are incorporated by reference as exhibits to the registration statement of which this prospectus is part.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ind w:left="120" w:right="340"/>
        <w:spacing w:after="0" w:line="239"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10,000,000 shares of convertible preferred stock, $0.0001 par value per share. As of March 31, 2020, there were outstanding:</w:t>
      </w:r>
    </w:p>
    <w:p>
      <w:pPr>
        <w:spacing w:after="0" w:line="114" w:lineRule="exact"/>
        <w:rPr>
          <w:sz w:val="20"/>
          <w:szCs w:val="20"/>
          <w:color w:val="auto"/>
        </w:rPr>
      </w:pPr>
    </w:p>
    <w:p>
      <w:pPr>
        <w:ind w:left="340" w:hanging="224"/>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5,568,324 shares of our common stock issuable upon exercise of outstanding stock options; and</w:t>
      </w:r>
    </w:p>
    <w:p>
      <w:pPr>
        <w:spacing w:after="0" w:line="117" w:lineRule="exact"/>
        <w:rPr>
          <w:rFonts w:ascii="Arial" w:cs="Arial" w:eastAsia="Arial" w:hAnsi="Arial"/>
          <w:sz w:val="18"/>
          <w:szCs w:val="18"/>
          <w:color w:val="auto"/>
        </w:rPr>
      </w:pPr>
    </w:p>
    <w:p>
      <w:pPr>
        <w:ind w:left="340" w:right="600" w:hanging="224"/>
        <w:spacing w:after="0" w:line="239"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59,003,644 shares of our common stock held by approximately 210 stockholders of record. This number does not include beneficial owners whose shares are held by nominees in street name.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120"/>
        <w:spacing w:after="0" w:line="272"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is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120" w:right="280"/>
        <w:spacing w:after="0" w:line="239"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4" w:lineRule="exact"/>
        <w:rPr>
          <w:sz w:val="20"/>
          <w:szCs w:val="20"/>
          <w:color w:val="auto"/>
        </w:rPr>
      </w:pPr>
    </w:p>
    <w:p>
      <w:pPr>
        <w:ind w:left="120" w:right="520"/>
        <w:spacing w:after="0" w:line="23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spacing w:after="0" w:line="239" w:lineRule="auto"/>
        <w:rPr>
          <w:sz w:val="20"/>
          <w:szCs w:val="20"/>
          <w:color w:val="auto"/>
        </w:rPr>
      </w:pPr>
      <w:r>
        <w:rPr>
          <w:rFonts w:ascii="Arial" w:cs="Arial" w:eastAsia="Arial" w:hAnsi="Arial"/>
          <w:sz w:val="18"/>
          <w:szCs w:val="18"/>
          <w:color w:val="auto"/>
        </w:rPr>
        <w:t>of the holders of our common stock are subject to and may be adversely affected by the rights of the holders of shares of any series of our preferred stock that we may designate in the future.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4"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After the consummation of this offering, no shares of preferred stock will be outstanding, and we have no present plan to issue any shares of preferred stock.</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Options</w:t>
      </w:r>
    </w:p>
    <w:p>
      <w:pPr>
        <w:spacing w:after="0" w:line="134" w:lineRule="exact"/>
        <w:rPr>
          <w:sz w:val="20"/>
          <w:szCs w:val="20"/>
          <w:color w:val="auto"/>
        </w:rPr>
      </w:pPr>
    </w:p>
    <w:p>
      <w:pPr>
        <w:ind w:left="120" w:right="260"/>
        <w:spacing w:after="0" w:line="239" w:lineRule="auto"/>
        <w:rPr>
          <w:sz w:val="20"/>
          <w:szCs w:val="20"/>
          <w:color w:val="auto"/>
        </w:rPr>
      </w:pPr>
      <w:r>
        <w:rPr>
          <w:rFonts w:ascii="Arial" w:cs="Arial" w:eastAsia="Arial" w:hAnsi="Arial"/>
          <w:sz w:val="18"/>
          <w:szCs w:val="18"/>
          <w:color w:val="auto"/>
        </w:rPr>
        <w:t>As of March 31, 2020, we had outstanding options to purchase 5,568,324 shares of our common stock, with a per share weighted-average exercise price of $5.29, under our 2014 Equity Incentive Plan and 2020 Equity Incentive Award Plan.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March 31, 2020, the holders of approximately 39.6 million shares of common stock, or their transferees, have the right to require us to register their shares under the Securities Act so that those shares may be publicly resold, and the holders of approximately 39.6 million shares of common stock, or their transferees, have the right to include their shares in any registration statement we file, in each case as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S-1 demand registration rights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holders of approximately 39.6 million shares of our common stock, or their transferees, are entitled to certain Form S-1 demand registration rights. On or after August 11, 2020, the holders of at least a majority of these shares can request that we register all or a portion of their shares, so long as such holders request that we register at least 40% of the shares entitled to these demand registration rights. These stockholders may make up to two requests for registration on Form S-1.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demand registration rights</w:t>
      </w:r>
    </w:p>
    <w:p>
      <w:pPr>
        <w:spacing w:after="0" w:line="124"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holders of approximately 39.6 million shares of our common stock, or their transferees, are entitled to certain Form S-3 demand registration rights. If we are eligible to use a Form S-3 registration statement, the holders of at least 20% of these shares can request that we register all or a portion of their shares on a Form S-3 registration statement if the anticipated aggregate offering price is at least $5.0 million, net of certain</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8"/>
          <w:szCs w:val="18"/>
          <w:color w:val="auto"/>
        </w:rPr>
        <w:t>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the event that we determine to register any of our securities under the Securities Act (subject to certain exceptions), either for our own account or for the account of other security holders, the holders of approximately 39.6 million shares of our common stock, or their transferees, are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Form S-1 demand, Form S-3 demand and piggyback registration rights described above will terminate, with respect to any particular stockholder, upon the earlier of (i) five years after the consummation of our IPO, (ii)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73" w:lineRule="exact"/>
        <w:rPr>
          <w:sz w:val="20"/>
          <w:szCs w:val="20"/>
          <w:color w:val="auto"/>
        </w:rPr>
      </w:pPr>
    </w:p>
    <w:p>
      <w:pPr>
        <w:ind w:left="120" w:right="160"/>
        <w:spacing w:after="0" w:line="261" w:lineRule="auto"/>
        <w:rPr>
          <w:sz w:val="20"/>
          <w:szCs w:val="20"/>
          <w:color w:val="auto"/>
        </w:rPr>
      </w:pPr>
      <w:r>
        <w:rPr>
          <w:rFonts w:ascii="Arial" w:cs="Arial" w:eastAsia="Arial" w:hAnsi="Arial"/>
          <w:sz w:val="22"/>
          <w:szCs w:val="22"/>
          <w:b w:val="1"/>
          <w:bCs w:val="1"/>
          <w:color w:val="auto"/>
        </w:rPr>
        <w:t>Anti-takeover effects of provisions of our amended and restated certificate of incorporation, our amended and restated bylaws and Delaware law</w:t>
      </w:r>
    </w:p>
    <w:p>
      <w:pPr>
        <w:spacing w:after="0" w:line="79"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120" w:right="100"/>
        <w:spacing w:after="0" w:line="235"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4"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a special meeting of stockholders may be called only by our board of directors, or by our President or Chief Executive Officer.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ind w:left="120" w:right="44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4" w:lineRule="exact"/>
        <w:rPr>
          <w:sz w:val="20"/>
          <w:szCs w:val="20"/>
          <w:color w:val="auto"/>
        </w:rPr>
      </w:pPr>
    </w:p>
    <w:p>
      <w:pPr>
        <w:ind w:left="120" w:right="80"/>
        <w:spacing w:after="0" w:line="269" w:lineRule="auto"/>
        <w:rPr>
          <w:sz w:val="20"/>
          <w:szCs w:val="20"/>
          <w:color w:val="auto"/>
        </w:rPr>
      </w:pPr>
      <w:r>
        <w:rPr>
          <w:rFonts w:ascii="Arial" w:cs="Arial" w:eastAsia="Arial" w:hAnsi="Arial"/>
          <w:sz w:val="16"/>
          <w:szCs w:val="16"/>
          <w:color w:val="auto"/>
        </w:rPr>
        <w:t>Our board of directors is divided into three classes. The directors in each class serves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Furthermore, any vacancy on our board of directors, however occurring, including a vacancy resulting from an increase in the size of the board, may only be filled by a</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ind w:left="120" w:right="160"/>
        <w:spacing w:after="0" w:line="264" w:lineRule="auto"/>
        <w:rPr>
          <w:sz w:val="20"/>
          <w:szCs w:val="20"/>
          <w:color w:val="auto"/>
        </w:rPr>
      </w:pPr>
      <w:r>
        <w:rPr>
          <w:rFonts w:ascii="Arial" w:cs="Arial" w:eastAsia="Arial" w:hAnsi="Arial"/>
          <w:sz w:val="16"/>
          <w:szCs w:val="16"/>
          <w:color w:val="auto"/>
        </w:rPr>
        <w:t>Our amended and restated certificate of incorporation to be in effect immediately prior to the consummation of this offering provides that the Court of Chancery of the State of Delaware is the sole and exclusive forum for (i) any state law derivative action or proceeding brought on behalf us, (ii) any action asserting a claim of breach of a fiduciary duty owed by any of our directors or officers to us or our stockholders,</w:t>
      </w:r>
    </w:p>
    <w:p>
      <w:pPr>
        <w:ind w:left="120" w:hanging="4"/>
        <w:spacing w:after="0" w:line="268" w:lineRule="auto"/>
        <w:tabs>
          <w:tab w:leader="none" w:pos="40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precludes stockholders that assert claims under the Securities Act or the Exchange Act from bringing such claims in state or federal court, subject to applicable law.</w:t>
      </w:r>
    </w:p>
    <w:p>
      <w:pPr>
        <w:spacing w:after="0" w:line="81" w:lineRule="exact"/>
        <w:rPr>
          <w:sz w:val="20"/>
          <w:szCs w:val="20"/>
          <w:color w:val="auto"/>
        </w:rPr>
      </w:pPr>
    </w:p>
    <w:p>
      <w:pPr>
        <w:ind w:left="120" w:right="100"/>
        <w:spacing w:after="0" w:line="28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2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0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Nasdaq Global Select Market listing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symbol “RVMD.”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Shares eligible for future sale</w:t>
      </w:r>
    </w:p>
    <w:p>
      <w:pPr>
        <w:spacing w:after="0" w:line="157" w:lineRule="exact"/>
        <w:rPr>
          <w:sz w:val="20"/>
          <w:szCs w:val="20"/>
          <w:color w:val="auto"/>
        </w:rPr>
      </w:pPr>
    </w:p>
    <w:p>
      <w:pPr>
        <w:ind w:left="120" w:right="160"/>
        <w:spacing w:after="0" w:line="275" w:lineRule="auto"/>
        <w:rPr>
          <w:sz w:val="20"/>
          <w:szCs w:val="20"/>
          <w:color w:val="auto"/>
        </w:rPr>
      </w:pPr>
      <w:r>
        <w:rPr>
          <w:rFonts w:ascii="Arial" w:cs="Arial" w:eastAsia="Arial" w:hAnsi="Arial"/>
          <w:sz w:val="16"/>
          <w:szCs w:val="16"/>
          <w:color w:val="auto"/>
        </w:rPr>
        <w:t>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after consummation of this offering due to contractual and legal restrictions on resale described below.</w:t>
      </w:r>
    </w:p>
    <w:p>
      <w:pPr>
        <w:spacing w:after="0" w:line="75"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0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Based on the number of shares of our common stock outstanding as of March 31, 2020, upon the consummation of this offering and assuming (1) no exercise of the underwriters’ option to purchase additional shares of common stock and (2) no exercise of any of our other outstanding options, we will have outstanding an aggregate of 64,503,644 shares of common stock.</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Certain of the remaining shares of common stock held by existing stockholders immediately prior to the consummation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Lock-up agreements and market stand-off provisions</w:t>
      </w:r>
    </w:p>
    <w:p>
      <w:pPr>
        <w:spacing w:after="0" w:line="134"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In connection with this offering, we, and our directors and officers have agreed, subject to certain exceptions, with the underwriters not to dispose of or hedge any shares of our common stock or securities convertible into or exchangeable for shares of common stock during the period from the date of the lock-up agreement continuing through the date 90 days after the date of this prospectus, except with the prior written consent of J.P. Morgan Securities LLC.</w:t>
      </w:r>
    </w:p>
    <w:p>
      <w:pPr>
        <w:spacing w:after="0" w:line="100"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In connection with our initial public offering, we, our directors, our executive officers and substantially all of our other stockholders and option holders agreed, subject to certain exceptions, with the underwriters not to dispose of or hedge any shares of our common stock or securities convertible into or exchangeable for shares of common stock during the period from the date of the lock-up agreement continuing through August 10, 2020, except with the prior written consent of J.P. Morgan Securities LLC.</w:t>
      </w:r>
    </w:p>
    <w:p>
      <w:pPr>
        <w:spacing w:after="0" w:line="100" w:lineRule="exact"/>
        <w:rPr>
          <w:sz w:val="20"/>
          <w:szCs w:val="20"/>
          <w:color w:val="auto"/>
        </w:rPr>
      </w:pPr>
    </w:p>
    <w:p>
      <w:pPr>
        <w:ind w:left="120" w:right="360"/>
        <w:spacing w:after="0" w:line="275" w:lineRule="auto"/>
        <w:rPr>
          <w:sz w:val="20"/>
          <w:szCs w:val="20"/>
          <w:color w:val="auto"/>
        </w:rPr>
      </w:pPr>
      <w:r>
        <w:rPr>
          <w:rFonts w:ascii="Arial" w:cs="Arial" w:eastAsia="Arial" w:hAnsi="Arial"/>
          <w:sz w:val="16"/>
          <w:szCs w:val="16"/>
          <w:color w:val="auto"/>
        </w:rPr>
        <w:t>Subject to certain limitations, certain of our employees, including our executive officers, and/or directors have entered into, and may enter into, written trading plans that are intended to comply with Rule 10b5-1 under the Exchange Act. Sales under these trading plans are not permitted until the expiration of the lock-up agreements relating to our initial public offering described above although, subject to certain limitations, such sales may be permitted under the lock-up agreements entered into in connection with this public offering.</w:t>
      </w:r>
    </w:p>
    <w:p>
      <w:pPr>
        <w:spacing w:after="0" w:line="7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Following the lock-up periods set forth in the market stand-off and lock-up agreements described above, and assuming that J.P. Morgan Securities LLC does not release any parties from such lock-up agreements above or entered into in connection with this offering, all of the shares of our common stock that are restricted securities or are held by our affiliates as of the date of this prospectus will be eligible for sale in the public market in compliance with Rule 144 under the Securities Act.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120"/>
        <w:spacing w:after="0" w:line="264"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agreements referred to above, if applicable) without complying with the manner of sale, volume limitations or notice provisions of Rule 144, but subject to compliance with the public information requirements of Rule</w:t>
      </w:r>
    </w:p>
    <w:p>
      <w:pPr>
        <w:spacing w:after="0" w:line="1" w:lineRule="exact"/>
        <w:rPr>
          <w:sz w:val="20"/>
          <w:szCs w:val="20"/>
          <w:color w:val="auto"/>
        </w:rPr>
      </w:pPr>
    </w:p>
    <w:p>
      <w:pPr>
        <w:ind w:left="120" w:right="20" w:hanging="4"/>
        <w:spacing w:after="0" w:line="236" w:lineRule="auto"/>
        <w:tabs>
          <w:tab w:leader="none" w:pos="51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14" w:lineRule="exact"/>
        <w:rPr>
          <w:sz w:val="20"/>
          <w:szCs w:val="20"/>
          <w:color w:val="auto"/>
        </w:rPr>
      </w:pPr>
    </w:p>
    <w:p>
      <w:pPr>
        <w:ind w:left="340" w:right="820" w:hanging="224"/>
        <w:spacing w:after="0" w:line="299"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approximately 640,036 shares of common stock immediately after this offering (calculated as of March 31, 2020 on the basis of the assumptions (1)-(2) described above); or</w:t>
      </w:r>
    </w:p>
    <w:p>
      <w:pPr>
        <w:spacing w:after="0" w:line="68" w:lineRule="exact"/>
        <w:rPr>
          <w:rFonts w:ascii="Arial" w:cs="Arial" w:eastAsia="Arial" w:hAnsi="Arial"/>
          <w:sz w:val="16"/>
          <w:szCs w:val="16"/>
          <w:color w:val="auto"/>
        </w:rPr>
      </w:pPr>
    </w:p>
    <w:p>
      <w:pPr>
        <w:ind w:left="340" w:right="260" w:hanging="224"/>
        <w:spacing w:after="0" w:line="239"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on Form 144 with respect to such sale.</w:t>
      </w:r>
    </w:p>
    <w:p>
      <w:pPr>
        <w:spacing w:after="0" w:line="101"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120" w:right="60"/>
        <w:spacing w:after="0" w:line="271" w:lineRule="auto"/>
        <w:rPr>
          <w:sz w:val="20"/>
          <w:szCs w:val="20"/>
          <w:color w:val="auto"/>
        </w:rPr>
      </w:pPr>
      <w:r>
        <w:rPr>
          <w:rFonts w:ascii="Arial" w:cs="Arial" w:eastAsia="Arial" w:hAnsi="Arial"/>
          <w:sz w:val="16"/>
          <w:szCs w:val="16"/>
          <w:color w:val="auto"/>
        </w:rPr>
        <w:t>Rule 701 generally provides that a stockholder who purchased shares of our common stock pursuant to a written compensatory benefit plan or contract and who is not deemed to have been one of our affiliates at any time during the preceding 90 days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any applicable lock-up agreement).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holders of approximately 39.6 million shares of our common stock, or their transferees, are, subject to the lock-up agreements entered into in connection with our IPO or, in the case of our directors and executive officers (and certain affiliated stockholders), entered into in connection with this offering,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plans</w:t>
      </w:r>
    </w:p>
    <w:p>
      <w:pPr>
        <w:spacing w:after="0" w:line="134"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have filed with the SEC a registration statement under the Securities Act covering the shares of common stock reserved for issuance under our 2014 Equity Incentive Plan, our 2020 Incentive Award Plan and our 2020 Employee Stock Purchase Plan. Accordingly, shares registered under such registration statement are available for sale in the open market, subject to Rule 144 volume limitations and the lock-up agreements described above, if applicable.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20"/>
          </w:cols>
          <w:pgMar w:left="320" w:top="459" w:right="5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w:t>
      </w:r>
    </w:p>
    <w:p>
      <w:pPr>
        <w:spacing w:after="0" w:line="10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0"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alternative minimum tax. In addition, it does not address consequences relevant to Non-U.S. Holders subject to special rules, including, without limitation:</w:t>
      </w:r>
    </w:p>
    <w:p>
      <w:pPr>
        <w:spacing w:after="0" w:line="88" w:lineRule="exact"/>
        <w:rPr>
          <w:sz w:val="20"/>
          <w:szCs w:val="20"/>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340" w:right="32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340" w:right="12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340" w:right="260" w:hanging="224"/>
        <w:spacing w:after="0" w:line="23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120" w:right="38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500"/>
        <w:spacing w:after="0" w:line="236" w:lineRule="auto"/>
        <w:rPr>
          <w:sz w:val="20"/>
          <w:szCs w:val="20"/>
          <w:color w:val="auto"/>
        </w:rPr>
      </w:pPr>
      <w:r>
        <w:rPr>
          <w:rFonts w:ascii="Arial" w:cs="Arial" w:eastAsia="Arial" w:hAnsi="Arial"/>
          <w:sz w:val="18"/>
          <w:szCs w:val="18"/>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Definition of non-U.S. holder</w:t>
      </w:r>
    </w:p>
    <w:p>
      <w:pPr>
        <w:spacing w:after="0" w:line="134"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13" w:lineRule="exact"/>
        <w:rPr>
          <w:sz w:val="20"/>
          <w:szCs w:val="20"/>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340" w:right="40" w:hanging="224"/>
        <w:spacing w:after="0" w:line="238"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described in the section titled “Dividend policy,” we have never declared or paid cash dividends on our capital stock, and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1" w:lineRule="exact"/>
        <w:rPr>
          <w:sz w:val="20"/>
          <w:szCs w:val="20"/>
          <w:color w:val="auto"/>
        </w:rPr>
      </w:pPr>
    </w:p>
    <w:p>
      <w:pPr>
        <w:ind w:left="120" w:right="220"/>
        <w:spacing w:after="0" w:line="236"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02" w:lineRule="exact"/>
        <w:rPr>
          <w:sz w:val="20"/>
          <w:szCs w:val="20"/>
          <w:color w:val="auto"/>
        </w:rPr>
      </w:pPr>
    </w:p>
    <w:p>
      <w:pPr>
        <w:ind w:left="120" w:right="120"/>
        <w:spacing w:after="0" w:line="272"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Sale or other taxable disposition</w:t>
      </w:r>
    </w:p>
    <w:p>
      <w:pPr>
        <w:spacing w:after="0" w:line="134"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Subject to the discussion below regarding backup withholding,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340" w:right="120" w:hanging="224"/>
        <w:spacing w:after="0" w:line="238"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340" w:right="50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340" w:right="200" w:hanging="224"/>
        <w:spacing w:after="0" w:line="239"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00"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120" w:right="40"/>
        <w:spacing w:after="0" w:line="275" w:lineRule="auto"/>
        <w:rPr>
          <w:sz w:val="20"/>
          <w:szCs w:val="20"/>
          <w:color w:val="auto"/>
        </w:rPr>
      </w:pPr>
      <w:r>
        <w:rPr>
          <w:rFonts w:ascii="Arial" w:cs="Arial" w:eastAsia="Arial" w:hAnsi="Arial"/>
          <w:sz w:val="16"/>
          <w:szCs w:val="16"/>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80"/>
        <w:spacing w:after="0" w:line="275" w:lineRule="auto"/>
        <w:rPr>
          <w:sz w:val="20"/>
          <w:szCs w:val="20"/>
          <w:color w:val="auto"/>
        </w:rPr>
      </w:pPr>
      <w:r>
        <w:rPr>
          <w:rFonts w:ascii="Arial" w:cs="Arial" w:eastAsia="Arial" w:hAnsi="Arial"/>
          <w:sz w:val="16"/>
          <w:szCs w:val="16"/>
          <w:color w:val="auto"/>
        </w:rPr>
        <w:t>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75"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ind w:left="120"/>
        <w:spacing w:after="0" w:line="275"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75" w:lineRule="exact"/>
        <w:rPr>
          <w:sz w:val="20"/>
          <w:szCs w:val="20"/>
          <w:color w:val="auto"/>
        </w:rPr>
      </w:pPr>
    </w:p>
    <w:p>
      <w:pPr>
        <w:ind w:left="12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Cowen and Company, LLC, SVB Leerink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9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21"/>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9900" w:type="dxa"/>
            <w:vAlign w:val="bottom"/>
          </w:tcPr>
          <w:p>
            <w:pPr>
              <w:spacing w:after="0" w:line="202" w:lineRule="exact"/>
              <w:rPr>
                <w:sz w:val="20"/>
                <w:szCs w:val="20"/>
                <w:color w:val="auto"/>
              </w:rPr>
            </w:pPr>
            <w:r>
              <w:rPr>
                <w:rFonts w:ascii="Arial" w:cs="Arial" w:eastAsia="Arial" w:hAnsi="Arial"/>
                <w:sz w:val="18"/>
                <w:szCs w:val="18"/>
                <w:color w:val="auto"/>
              </w:rPr>
              <w:t>Cowen and Company, LLC</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SVB Leerink LLC</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9900" w:type="dxa"/>
            <w:vAlign w:val="bottom"/>
          </w:tcPr>
          <w:p>
            <w:pPr>
              <w:spacing w:after="0" w:line="202" w:lineRule="exact"/>
              <w:rPr>
                <w:sz w:val="20"/>
                <w:szCs w:val="20"/>
                <w:color w:val="auto"/>
              </w:rPr>
            </w:pPr>
            <w:r>
              <w:rPr>
                <w:rFonts w:ascii="Arial" w:cs="Arial" w:eastAsia="Arial" w:hAnsi="Arial"/>
                <w:sz w:val="18"/>
                <w:szCs w:val="18"/>
                <w:color w:val="auto"/>
              </w:rPr>
              <w:t>Guggenheim Securities, LLC</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9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w:t>
            </w:r>
          </w:p>
        </w:tc>
        <w:tc>
          <w:tcPr>
            <w:tcW w:w="80" w:type="dxa"/>
            <w:vAlign w:val="bottom"/>
            <w:shd w:val="clear" w:color="auto" w:fill="CCEEFF"/>
          </w:tcPr>
          <w:p>
            <w:pPr>
              <w:spacing w:after="0"/>
              <w:rPr>
                <w:sz w:val="17"/>
                <w:szCs w:val="17"/>
                <w:color w:val="auto"/>
              </w:rPr>
            </w:pPr>
          </w:p>
        </w:tc>
      </w:tr>
      <w:tr>
        <w:trPr>
          <w:trHeight w:val="20"/>
        </w:trPr>
        <w:tc>
          <w:tcPr>
            <w:tcW w:w="9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propose to offer the common stock directly to the public at the public offering price set forth on the cover page of this</w:t>
      </w:r>
    </w:p>
    <w:p>
      <w:pPr>
        <w:jc w:val="both"/>
        <w:ind w:left="120" w:right="160"/>
        <w:spacing w:after="0" w:line="238"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shares of common stock are not sold at the public offering price, the underwriters may change the offering price and the other selling terms. Sales of shares made outside of the United States may be made by affiliates of the underwriters.</w:t>
      </w:r>
    </w:p>
    <w:p>
      <w:pPr>
        <w:spacing w:after="0" w:line="100" w:lineRule="exact"/>
        <w:rPr>
          <w:sz w:val="20"/>
          <w:szCs w:val="20"/>
          <w:color w:val="auto"/>
        </w:rPr>
      </w:pPr>
    </w:p>
    <w:p>
      <w:pPr>
        <w:ind w:left="120" w:right="60"/>
        <w:spacing w:after="0" w:line="272" w:lineRule="auto"/>
        <w:rPr>
          <w:sz w:val="20"/>
          <w:szCs w:val="20"/>
          <w:color w:val="auto"/>
        </w:rPr>
      </w:pPr>
      <w:r>
        <w:rPr>
          <w:rFonts w:ascii="Arial" w:cs="Arial" w:eastAsia="Arial" w:hAnsi="Arial"/>
          <w:sz w:val="16"/>
          <w:szCs w:val="16"/>
          <w:color w:val="auto"/>
        </w:rPr>
        <w:t>The underwriters have an option to purchase up to 825,000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5080" w:type="dxa"/>
            <w:vAlign w:val="bottom"/>
          </w:tcPr>
          <w:p>
            <w:pPr>
              <w:jc w:val="right"/>
              <w:ind w:right="272"/>
              <w:spacing w:after="0"/>
              <w:rPr>
                <w:sz w:val="20"/>
                <w:szCs w:val="20"/>
                <w:color w:val="auto"/>
              </w:rPr>
            </w:pPr>
            <w:r>
              <w:rPr>
                <w:rFonts w:ascii="Arial" w:cs="Arial" w:eastAsia="Arial" w:hAnsi="Arial"/>
                <w:sz w:val="18"/>
                <w:szCs w:val="18"/>
                <w:b w:val="1"/>
                <w:bCs w:val="1"/>
                <w:color w:val="auto"/>
              </w:rPr>
              <w:t>Without option</w:t>
            </w: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With full option</w:t>
            </w:r>
          </w:p>
        </w:tc>
      </w:tr>
      <w:tr>
        <w:trPr>
          <w:trHeight w:val="203"/>
        </w:trPr>
        <w:tc>
          <w:tcPr>
            <w:tcW w:w="4060" w:type="dxa"/>
            <w:vAlign w:val="bottom"/>
          </w:tcPr>
          <w:p>
            <w:pPr>
              <w:spacing w:after="0"/>
              <w:rPr>
                <w:sz w:val="17"/>
                <w:szCs w:val="17"/>
                <w:color w:val="auto"/>
              </w:rPr>
            </w:pPr>
          </w:p>
        </w:tc>
        <w:tc>
          <w:tcPr>
            <w:tcW w:w="508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to purchase</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 purchase</w:t>
            </w:r>
          </w:p>
        </w:tc>
      </w:tr>
      <w:tr>
        <w:trPr>
          <w:trHeight w:val="203"/>
        </w:trPr>
        <w:tc>
          <w:tcPr>
            <w:tcW w:w="4060" w:type="dxa"/>
            <w:vAlign w:val="bottom"/>
          </w:tcPr>
          <w:p>
            <w:pPr>
              <w:spacing w:after="0"/>
              <w:rPr>
                <w:sz w:val="17"/>
                <w:szCs w:val="17"/>
                <w:color w:val="auto"/>
              </w:rPr>
            </w:pPr>
          </w:p>
        </w:tc>
        <w:tc>
          <w:tcPr>
            <w:tcW w:w="508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additional shares</w:t>
            </w:r>
          </w:p>
        </w:tc>
        <w:tc>
          <w:tcPr>
            <w:tcW w:w="1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 shares</w:t>
            </w:r>
          </w:p>
        </w:tc>
      </w:tr>
      <w:tr>
        <w:trPr>
          <w:trHeight w:val="234"/>
        </w:trPr>
        <w:tc>
          <w:tcPr>
            <w:tcW w:w="406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exercise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7"/>
        </w:trPr>
        <w:tc>
          <w:tcPr>
            <w:tcW w:w="40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Share</w:t>
            </w:r>
          </w:p>
        </w:tc>
        <w:tc>
          <w:tcPr>
            <w:tcW w:w="5080" w:type="dxa"/>
            <w:vAlign w:val="bottom"/>
            <w:shd w:val="clear" w:color="auto" w:fill="CCEEFF"/>
          </w:tcPr>
          <w:p>
            <w:pPr>
              <w:jc w:val="right"/>
              <w:ind w:right="1632"/>
              <w:spacing w:after="0" w:line="197" w:lineRule="exact"/>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1312"/>
              <w:spacing w:after="0" w:line="197" w:lineRule="exact"/>
              <w:rPr>
                <w:sz w:val="20"/>
                <w:szCs w:val="20"/>
                <w:color w:val="auto"/>
              </w:rPr>
            </w:pPr>
            <w:r>
              <w:rPr>
                <w:rFonts w:ascii="Arial" w:cs="Arial" w:eastAsia="Arial" w:hAnsi="Arial"/>
                <w:sz w:val="18"/>
                <w:szCs w:val="18"/>
                <w:color w:val="auto"/>
              </w:rPr>
              <w:t>$</w:t>
            </w:r>
          </w:p>
        </w:tc>
      </w:tr>
      <w:tr>
        <w:trPr>
          <w:trHeight w:val="21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5080" w:type="dxa"/>
            <w:vAlign w:val="bottom"/>
            <w:tcBorders>
              <w:bottom w:val="single" w:sz="8" w:color="auto"/>
            </w:tcBorders>
          </w:tcPr>
          <w:p>
            <w:pPr>
              <w:jc w:val="right"/>
              <w:ind w:right="1632"/>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312"/>
              <w:spacing w:after="0"/>
              <w:rPr>
                <w:sz w:val="20"/>
                <w:szCs w:val="20"/>
                <w:color w:val="auto"/>
              </w:rPr>
            </w:pPr>
            <w:r>
              <w:rPr>
                <w:rFonts w:ascii="Arial" w:cs="Arial" w:eastAsia="Arial" w:hAnsi="Arial"/>
                <w:sz w:val="18"/>
                <w:szCs w:val="18"/>
                <w:color w:val="auto"/>
              </w:rPr>
              <w:t>$</w:t>
            </w:r>
          </w:p>
        </w:tc>
      </w:tr>
    </w:tbl>
    <w:p>
      <w:pPr>
        <w:spacing w:after="0" w:line="111"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0"/>
        <w:spacing w:after="0" w:line="239" w:lineRule="auto"/>
        <w:rPr>
          <w:sz w:val="20"/>
          <w:szCs w:val="20"/>
          <w:color w:val="auto"/>
        </w:rPr>
      </w:pPr>
      <w:r>
        <w:rPr>
          <w:rFonts w:ascii="Arial" w:cs="Arial" w:eastAsia="Arial" w:hAnsi="Arial"/>
          <w:sz w:val="18"/>
          <w:szCs w:val="18"/>
          <w:color w:val="auto"/>
        </w:rPr>
        <w:t>approximately $700,000. We have agreed to reimburse the underwriters for expenses of up to $40,000 relating to the clearance of this offering with the Financial Industry Regulatory Authority.</w:t>
      </w:r>
    </w:p>
    <w:p>
      <w:pPr>
        <w:spacing w:after="0" w:line="101" w:lineRule="exact"/>
        <w:rPr>
          <w:sz w:val="20"/>
          <w:szCs w:val="20"/>
          <w:color w:val="auto"/>
        </w:rPr>
      </w:pPr>
    </w:p>
    <w:p>
      <w:pPr>
        <w:jc w:val="both"/>
        <w:ind w:left="120" w:right="6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ind w:left="120" w:right="80"/>
        <w:spacing w:after="0" w:line="235" w:lineRule="auto"/>
        <w:rPr>
          <w:sz w:val="20"/>
          <w:szCs w:val="20"/>
          <w:color w:val="auto"/>
        </w:rPr>
      </w:pPr>
      <w:r>
        <w:rPr>
          <w:rFonts w:ascii="Arial" w:cs="Arial" w:eastAsia="Arial" w:hAnsi="Arial"/>
          <w:sz w:val="18"/>
          <w:szCs w:val="18"/>
          <w:color w:val="auto"/>
        </w:rPr>
        <w:t>We have agreed that we will not (i) offer, pledge, announce the intention to sell, sell, contract to sell, sell any option or contract to purchase, purchase any option or contract to sell, grant any option, right or warrant to purchase, lend, or otherwise transfer or dispose of, directly or indirectly, or file with the Securities and Exchange Commission, or SEC, a registration statement under the Securities Act of 1933,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90 days after the date of this prospectus, other than the shares of our common stock to be sold hereunder and any shares of our common stock issued upon the exercise of options granted under our existing stock-based compensation plans.</w:t>
      </w:r>
    </w:p>
    <w:p>
      <w:pPr>
        <w:spacing w:after="0" w:line="10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directors, executive officers and certain of our stockholders have entered into lock-up agreements with the underwriters prior to the commencement of this offering pursuant to which each of these persons or entities, with limited exceptions, for a period of 90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lock-up restrictions described in the immediately preceding paragraph are subject to specified exceptions, including among other items:</w:t>
      </w:r>
    </w:p>
    <w:p>
      <w:pPr>
        <w:spacing w:after="0" w:line="140" w:lineRule="exact"/>
        <w:rPr>
          <w:sz w:val="20"/>
          <w:szCs w:val="20"/>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certain limitations, transfers as a bona fide gift or gifts;</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certain limitations, transfers by will, other testamentary document or intestacy;</w:t>
      </w:r>
    </w:p>
    <w:p>
      <w:pPr>
        <w:spacing w:after="0" w:line="117" w:lineRule="exact"/>
        <w:rPr>
          <w:rFonts w:ascii="Arial" w:cs="Arial" w:eastAsia="Arial" w:hAnsi="Arial"/>
          <w:sz w:val="18"/>
          <w:szCs w:val="18"/>
          <w:color w:val="auto"/>
        </w:rPr>
      </w:pPr>
    </w:p>
    <w:p>
      <w:pPr>
        <w:ind w:left="340" w:right="40" w:hanging="224"/>
        <w:spacing w:after="0" w:line="239"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114" w:lineRule="exact"/>
        <w:rPr>
          <w:rFonts w:ascii="Arial" w:cs="Arial" w:eastAsia="Arial" w:hAnsi="Arial"/>
          <w:sz w:val="18"/>
          <w:szCs w:val="18"/>
          <w:color w:val="auto"/>
        </w:rPr>
      </w:pPr>
    </w:p>
    <w:p>
      <w:pPr>
        <w:ind w:left="340" w:right="140" w:hanging="224"/>
        <w:spacing w:after="0" w:line="275"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88" w:lineRule="exact"/>
        <w:rPr>
          <w:rFonts w:ascii="Arial" w:cs="Arial" w:eastAsia="Arial" w:hAnsi="Arial"/>
          <w:sz w:val="16"/>
          <w:szCs w:val="16"/>
          <w:color w:val="auto"/>
        </w:rPr>
      </w:pPr>
    </w:p>
    <w:p>
      <w:pPr>
        <w:ind w:left="340" w:right="54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transfers by operation of law pursuant to a qualified domestic order, divorce settlement, divorce decree, separation agreement or other court order;</w:t>
      </w:r>
    </w:p>
    <w:p>
      <w:pPr>
        <w:spacing w:after="0" w:line="114" w:lineRule="exact"/>
        <w:rPr>
          <w:rFonts w:ascii="Arial" w:cs="Arial" w:eastAsia="Arial" w:hAnsi="Arial"/>
          <w:sz w:val="18"/>
          <w:szCs w:val="18"/>
          <w:color w:val="auto"/>
        </w:rPr>
      </w:pPr>
    </w:p>
    <w:p>
      <w:pPr>
        <w:ind w:left="340" w:right="22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transfers to us from an employee or other service provider in connection with death, disability or termination of employment or service, in each case, of such employee or service provider;</w:t>
      </w:r>
    </w:p>
    <w:p>
      <w:pPr>
        <w:spacing w:after="0" w:line="114" w:lineRule="exact"/>
        <w:rPr>
          <w:rFonts w:ascii="Arial" w:cs="Arial" w:eastAsia="Arial" w:hAnsi="Arial"/>
          <w:sz w:val="18"/>
          <w:szCs w:val="18"/>
          <w:color w:val="auto"/>
        </w:rPr>
      </w:pPr>
    </w:p>
    <w:p>
      <w:pPr>
        <w:ind w:left="340" w:right="40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transfers to us to cover tax withholdings upon a vesting, exercise or settlement event of any equity award granted under a stock incentive plan, stock purchase plan or other equity award plan;</w:t>
      </w:r>
    </w:p>
    <w:p>
      <w:pPr>
        <w:spacing w:after="0" w:line="114" w:lineRule="exact"/>
        <w:rPr>
          <w:rFonts w:ascii="Arial" w:cs="Arial" w:eastAsia="Arial" w:hAnsi="Arial"/>
          <w:sz w:val="18"/>
          <w:szCs w:val="18"/>
          <w:color w:val="auto"/>
        </w:rPr>
      </w:pPr>
    </w:p>
    <w:p>
      <w:pPr>
        <w:jc w:val="both"/>
        <w:ind w:left="340" w:right="300" w:hanging="224"/>
        <w:spacing w:after="0" w:line="238"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transfers to us by way of cashless exercise of an option to purchase common stock granted under a stock incentive plan, stock purchase plan or other equity award plan or described in this prospectus (including the documents incorporated by reference therein);</w:t>
      </w:r>
    </w:p>
    <w:p>
      <w:pPr>
        <w:spacing w:after="0" w:line="113" w:lineRule="exact"/>
        <w:rPr>
          <w:rFonts w:ascii="Arial" w:cs="Arial" w:eastAsia="Arial" w:hAnsi="Arial"/>
          <w:sz w:val="18"/>
          <w:szCs w:val="18"/>
          <w:color w:val="auto"/>
        </w:rPr>
      </w:pPr>
    </w:p>
    <w:p>
      <w:pPr>
        <w:ind w:left="340" w:right="58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common stock involving a change of control that has been approved by our board of directors;</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the establishment of a trading plan pursuant to Rule 10b5-1 of the Exchange Act; and</w:t>
      </w:r>
    </w:p>
    <w:p>
      <w:pPr>
        <w:spacing w:after="0" w:line="117" w:lineRule="exact"/>
        <w:rPr>
          <w:rFonts w:ascii="Arial" w:cs="Arial" w:eastAsia="Arial" w:hAnsi="Arial"/>
          <w:sz w:val="18"/>
          <w:szCs w:val="18"/>
          <w:color w:val="auto"/>
        </w:rPr>
      </w:pPr>
    </w:p>
    <w:p>
      <w:pPr>
        <w:ind w:left="340" w:right="260" w:hanging="224"/>
        <w:spacing w:after="0" w:line="239"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subject to certain limitations, in connection with sales of shares of our common stock made pursuant to a trading plan that complies with Rule 10b5-1 under the Exchange Act that was entered into before the stockholder entered into the lock-up agreement.</w:t>
      </w:r>
    </w:p>
    <w:p>
      <w:pPr>
        <w:spacing w:after="0" w:line="101"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J.P. Morgan Securities LLC, in its sole discretion, may release the common stock subject to the lock-up agreements described above in whole or in part at any time with or without notice.</w:t>
      </w:r>
    </w:p>
    <w:p>
      <w:pPr>
        <w:spacing w:after="0" w:line="101" w:lineRule="exact"/>
        <w:rPr>
          <w:sz w:val="20"/>
          <w:szCs w:val="20"/>
          <w:color w:val="auto"/>
        </w:rPr>
      </w:pPr>
    </w:p>
    <w:p>
      <w:pPr>
        <w:ind w:left="120" w:right="1420"/>
        <w:spacing w:after="0" w:line="360"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Our common stock is listed on the Nasdaq Global Select Market under the symbol “RVMD.”</w:t>
      </w:r>
    </w:p>
    <w:p>
      <w:pPr>
        <w:ind w:left="120"/>
        <w:spacing w:after="0" w:line="236"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2"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00" w:lineRule="exact"/>
        <w:rPr>
          <w:sz w:val="20"/>
          <w:szCs w:val="20"/>
          <w:color w:val="auto"/>
        </w:rPr>
      </w:pPr>
    </w:p>
    <w:p>
      <w:pPr>
        <w:ind w:left="120" w:right="40"/>
        <w:spacing w:after="0" w:line="272" w:lineRule="auto"/>
        <w:rPr>
          <w:sz w:val="20"/>
          <w:szCs w:val="20"/>
          <w:color w:val="auto"/>
        </w:rPr>
      </w:pPr>
      <w:r>
        <w:rPr>
          <w:rFonts w:ascii="Arial" w:cs="Arial" w:eastAsia="Arial" w:hAnsi="Arial"/>
          <w:sz w:val="16"/>
          <w:szCs w:val="16"/>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4"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Member State, all in accordance with the Prospectus Regulation), except that offers of shares may be made to the public in that Member State at any time under the following exemptions under the Prospectus Regulation:</w:t>
      </w:r>
    </w:p>
    <w:p>
      <w:pPr>
        <w:spacing w:after="0" w:line="60"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63" w:lineRule="exact"/>
        <w:rPr>
          <w:rFonts w:ascii="Arial" w:cs="Arial" w:eastAsia="Arial" w:hAnsi="Arial"/>
          <w:sz w:val="18"/>
          <w:szCs w:val="18"/>
          <w:color w:val="auto"/>
        </w:rPr>
      </w:pPr>
    </w:p>
    <w:p>
      <w:pPr>
        <w:ind w:left="540" w:right="160" w:hanging="424"/>
        <w:spacing w:after="0" w:line="239"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0" w:lineRule="exact"/>
        <w:rPr>
          <w:rFonts w:ascii="Arial" w:cs="Arial" w:eastAsia="Arial" w:hAnsi="Arial"/>
          <w:sz w:val="18"/>
          <w:szCs w:val="18"/>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06"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120" w:right="2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120" w:right="380"/>
        <w:spacing w:after="0" w:line="23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0"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or DIFC</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1"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40"/>
          </w:cols>
          <w:pgMar w:left="320" w:top="459"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99" w:lineRule="auto"/>
        <w:rPr>
          <w:sz w:val="20"/>
          <w:szCs w:val="20"/>
          <w:color w:val="auto"/>
        </w:rPr>
      </w:pPr>
      <w:r>
        <w:rPr>
          <w:rFonts w:ascii="Arial" w:cs="Arial" w:eastAsia="Arial" w:hAnsi="Arial"/>
          <w:sz w:val="16"/>
          <w:szCs w:val="16"/>
          <w:color w:val="auto"/>
        </w:rPr>
        <w:t>(including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340" w:hanging="224"/>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340" w:right="40" w:hanging="224"/>
        <w:spacing w:after="0" w:line="238"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340" w:right="440" w:hanging="224"/>
        <w:spacing w:after="0" w:line="239"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0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5" w:lineRule="exact"/>
        <w:rPr>
          <w:sz w:val="20"/>
          <w:szCs w:val="20"/>
          <w:color w:val="auto"/>
        </w:rPr>
      </w:pPr>
    </w:p>
    <w:p>
      <w:pPr>
        <w:ind w:left="540" w:right="600" w:hanging="424"/>
        <w:spacing w:after="0" w:line="239"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4" w:lineRule="exact"/>
        <w:rPr>
          <w:rFonts w:ascii="Arial" w:cs="Arial" w:eastAsia="Arial" w:hAnsi="Arial"/>
          <w:sz w:val="18"/>
          <w:szCs w:val="18"/>
          <w:color w:val="auto"/>
        </w:rPr>
      </w:pPr>
    </w:p>
    <w:p>
      <w:pPr>
        <w:ind w:left="540" w:right="700" w:hanging="424"/>
        <w:spacing w:after="0" w:line="239"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540" w:right="540" w:hanging="424"/>
        <w:spacing w:after="0" w:line="299"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540" w:hanging="424"/>
        <w:spacing w:after="0" w:line="239"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3" w:lineRule="exact"/>
        <w:rPr>
          <w:sz w:val="20"/>
          <w:szCs w:val="20"/>
          <w:color w:val="auto"/>
        </w:rPr>
      </w:pPr>
    </w:p>
    <w:p>
      <w:pPr>
        <w:ind w:left="540" w:right="40" w:hanging="424"/>
        <w:spacing w:after="0" w:line="239"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14"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540" w:right="580" w:hanging="424"/>
        <w:spacing w:after="0" w:line="239"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6"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xml:space="preserve">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 delivered, in South Africa or to a person with an address in South Africa, unless one or other of the following exemptions stipulated in section 96 (1) applies:</w:t>
      </w:r>
    </w:p>
    <w:p>
      <w:pPr>
        <w:spacing w:after="0" w:line="182" w:lineRule="exact"/>
        <w:rPr>
          <w:sz w:val="20"/>
          <w:szCs w:val="20"/>
          <w:color w:val="auto"/>
        </w:rPr>
      </w:pPr>
    </w:p>
    <w:p>
      <w:pPr>
        <w:ind w:left="120"/>
        <w:spacing w:after="0"/>
        <w:tabs>
          <w:tab w:leader="none" w:pos="176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44" w:lineRule="exact"/>
        <w:rPr>
          <w:sz w:val="20"/>
          <w:szCs w:val="20"/>
          <w:color w:val="auto"/>
        </w:rPr>
      </w:pPr>
    </w:p>
    <w:p>
      <w:pPr>
        <w:ind w:left="1980" w:hanging="204"/>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2020" w:hanging="244"/>
        <w:spacing w:after="0"/>
        <w:tabs>
          <w:tab w:leader="none" w:pos="2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2060" w:hanging="284"/>
        <w:spacing w:after="0"/>
        <w:tabs>
          <w:tab w:leader="none" w:pos="2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2060" w:hanging="284"/>
        <w:spacing w:after="0"/>
        <w:tabs>
          <w:tab w:leader="none" w:pos="2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2040" w:hanging="264"/>
        <w:spacing w:after="0"/>
        <w:tabs>
          <w:tab w:leader="none" w:pos="2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44" w:lineRule="exact"/>
        <w:rPr>
          <w:rFonts w:ascii="Arial" w:cs="Arial" w:eastAsia="Arial" w:hAnsi="Arial"/>
          <w:sz w:val="18"/>
          <w:szCs w:val="18"/>
          <w:color w:val="auto"/>
        </w:rPr>
      </w:pPr>
    </w:p>
    <w:p>
      <w:pPr>
        <w:ind w:left="1780" w:hanging="4"/>
        <w:spacing w:after="0" w:line="238" w:lineRule="auto"/>
        <w:tabs>
          <w:tab w:leader="none" w:pos="20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40" w:lineRule="exact"/>
        <w:rPr>
          <w:rFonts w:ascii="Arial" w:cs="Arial" w:eastAsia="Arial" w:hAnsi="Arial"/>
          <w:sz w:val="18"/>
          <w:szCs w:val="18"/>
          <w:color w:val="auto"/>
        </w:rPr>
      </w:pPr>
    </w:p>
    <w:p>
      <w:pPr>
        <w:ind w:left="2100" w:hanging="324"/>
        <w:spacing w:after="0"/>
        <w:tabs>
          <w:tab w:leader="none" w:pos="2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17" w:lineRule="exact"/>
        <w:rPr>
          <w:sz w:val="20"/>
          <w:szCs w:val="20"/>
          <w:color w:val="auto"/>
        </w:rPr>
      </w:pPr>
    </w:p>
    <w:p>
      <w:pPr>
        <w:ind w:left="1780" w:right="440" w:hanging="1659"/>
        <w:spacing w:after="0" w:line="238" w:lineRule="auto"/>
        <w:tabs>
          <w:tab w:leader="none" w:pos="1760" w:val="left"/>
        </w:tabs>
        <w:rPr>
          <w:sz w:val="20"/>
          <w:szCs w:val="20"/>
          <w:color w:val="auto"/>
        </w:rPr>
      </w:pPr>
      <w:r>
        <w:rPr>
          <w:rFonts w:ascii="Arial" w:cs="Arial" w:eastAsia="Arial" w:hAnsi="Arial"/>
          <w:sz w:val="18"/>
          <w:szCs w:val="18"/>
          <w:color w:val="auto"/>
        </w:rPr>
        <w:t>Section 96 (1)(b)</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24" w:lineRule="exact"/>
        <w:rPr>
          <w:sz w:val="20"/>
          <w:szCs w:val="20"/>
          <w:color w:val="auto"/>
        </w:rPr>
      </w:pPr>
    </w:p>
    <w:p>
      <w:pPr>
        <w:ind w:left="120" w:right="80"/>
        <w:spacing w:after="0" w:line="264"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ind w:left="120" w:hanging="4"/>
        <w:spacing w:after="0" w:line="236" w:lineRule="auto"/>
        <w:tabs>
          <w:tab w:leader="none" w:pos="3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9" w:right="5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ind w:left="120" w:right="60"/>
        <w:spacing w:after="0" w:line="264" w:lineRule="auto"/>
        <w:rPr>
          <w:sz w:val="20"/>
          <w:szCs w:val="20"/>
          <w:color w:val="auto"/>
        </w:rPr>
      </w:pPr>
      <w:r>
        <w:rPr>
          <w:rFonts w:ascii="Arial" w:cs="Arial" w:eastAsia="Arial" w:hAnsi="Arial"/>
          <w:sz w:val="16"/>
          <w:szCs w:val="16"/>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w:t>
      </w:r>
    </w:p>
    <w:p>
      <w:pPr>
        <w:ind w:left="120"/>
        <w:spacing w:after="0"/>
        <w:rPr>
          <w:sz w:val="20"/>
          <w:szCs w:val="20"/>
          <w:color w:val="auto"/>
        </w:rPr>
      </w:pPr>
      <w:r>
        <w:rPr>
          <w:rFonts w:ascii="Arial" w:cs="Arial" w:eastAsia="Arial" w:hAnsi="Arial"/>
          <w:sz w:val="16"/>
          <w:szCs w:val="16"/>
          <w:color w:val="auto"/>
        </w:rPr>
        <w:t>Latham &amp; Watkins LLP and certain attorneys and investment funds affiliated with the firm own an aggregate of 9,974 shares of common stock.</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Revolution Medicines, Inc. and the common stock offered hereby, reference is made to the registration statement and the exhibits and schedules filed therewith or incorporated by reference therein. Statements contained in, or incorporated by reference in, this prospectus regarding the contents of any contract or any other document that is filed or incorporated by reference as an exhibit to the registration statement are not necessarily complete, and each such statement is qualified in all respects by reference to the full text of such contract or other document filed or incorporated by reference as an exhibit to the registration statement. The SEC also maintains a website that contains reports, proxy and information statements and other information regarding registrants that file electronically with the SEC. The address is www.sec.gov.</w:t>
      </w:r>
    </w:p>
    <w:p>
      <w:pPr>
        <w:spacing w:after="0" w:line="106"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We are subject to the information and periodic reporting requirements of the Exchange Act and, in accordance therewith, file periodic reports, proxy statements and other information with the SEC. Such periodic reports, proxy statements and other information are available at the website of the SEC referred to above. We maintain a website at www.revmed.com.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5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the SEC (Commission File No. 001-39219):</w:t>
      </w:r>
    </w:p>
    <w:p>
      <w:pPr>
        <w:spacing w:after="0" w:line="116" w:lineRule="exact"/>
        <w:rPr>
          <w:sz w:val="20"/>
          <w:szCs w:val="20"/>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March 30,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72">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2020, filed with the SEC on May 14, 2020;</w:t>
      </w:r>
    </w:p>
    <w:p>
      <w:pPr>
        <w:spacing w:after="0" w:line="117" w:lineRule="exact"/>
        <w:rPr>
          <w:rFonts w:ascii="Arial" w:cs="Arial" w:eastAsia="Arial" w:hAnsi="Arial"/>
          <w:sz w:val="18"/>
          <w:szCs w:val="18"/>
          <w:color w:val="auto"/>
        </w:rPr>
      </w:pPr>
    </w:p>
    <w:p>
      <w:pPr>
        <w:ind w:left="340" w:hanging="224"/>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73">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w:t>
      </w:r>
      <w:hyperlink r:id="rId274">
        <w:r>
          <w:rPr>
            <w:rFonts w:ascii="Arial" w:cs="Arial" w:eastAsia="Arial" w:hAnsi="Arial"/>
            <w:sz w:val="18"/>
            <w:szCs w:val="18"/>
            <w:u w:val="single" w:color="auto"/>
            <w:color w:val="0000EE"/>
          </w:rPr>
          <w:t>March 20, 2020</w:t>
        </w:r>
      </w:hyperlink>
      <w:r>
        <w:rPr>
          <w:rFonts w:ascii="Arial" w:cs="Arial" w:eastAsia="Arial" w:hAnsi="Arial"/>
          <w:sz w:val="18"/>
          <w:szCs w:val="18"/>
          <w:color w:val="auto"/>
        </w:rPr>
        <w:t xml:space="preserve">, </w:t>
      </w:r>
      <w:hyperlink r:id="rId275">
        <w:r>
          <w:rPr>
            <w:rFonts w:ascii="Arial" w:cs="Arial" w:eastAsia="Arial" w:hAnsi="Arial"/>
            <w:sz w:val="18"/>
            <w:szCs w:val="18"/>
            <w:u w:val="single" w:color="auto"/>
            <w:color w:val="0000EE"/>
          </w:rPr>
          <w:t>April 21,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76">
        <w:r>
          <w:rPr>
            <w:rFonts w:ascii="Arial" w:cs="Arial" w:eastAsia="Arial" w:hAnsi="Arial"/>
            <w:sz w:val="18"/>
            <w:szCs w:val="18"/>
            <w:u w:val="single" w:color="auto"/>
            <w:color w:val="0000EE"/>
          </w:rPr>
          <w:t>June 18, 2020</w:t>
        </w:r>
      </w:hyperlink>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340" w:right="20" w:hanging="224"/>
        <w:spacing w:after="0" w:line="239"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which is registered under Section 12 of the Exchange Act, in our registration statement on </w:t>
      </w:r>
      <w:hyperlink r:id="rId277">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on February 6, 2020, including any amendment or reports filed for the purposes of updating this description.</w:t>
      </w:r>
    </w:p>
    <w:p>
      <w:pPr>
        <w:spacing w:after="0" w:line="101" w:lineRule="exact"/>
        <w:rPr>
          <w:rFonts w:ascii="Arial" w:cs="Arial" w:eastAsia="Arial" w:hAnsi="Arial"/>
          <w:sz w:val="18"/>
          <w:szCs w:val="18"/>
          <w:color w:val="auto"/>
        </w:rPr>
      </w:pPr>
    </w:p>
    <w:p>
      <w:pPr>
        <w:ind w:left="120" w:right="200"/>
        <w:spacing w:after="0" w:line="299" w:lineRule="auto"/>
        <w:rPr>
          <w:sz w:val="20"/>
          <w:szCs w:val="20"/>
          <w:color w:val="auto"/>
        </w:rPr>
      </w:pPr>
      <w:r>
        <w:rPr>
          <w:rFonts w:ascii="Arial" w:cs="Arial" w:eastAsia="Arial" w:hAnsi="Arial"/>
          <w:sz w:val="16"/>
          <w:szCs w:val="16"/>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55" w:lineRule="exact"/>
        <w:rPr>
          <w:rFonts w:ascii="Arial" w:cs="Arial" w:eastAsia="Arial" w:hAnsi="Arial"/>
          <w:sz w:val="18"/>
          <w:szCs w:val="18"/>
          <w:color w:val="auto"/>
        </w:rPr>
      </w:pPr>
    </w:p>
    <w:p>
      <w:pPr>
        <w:ind w:left="120" w:right="80"/>
        <w:spacing w:after="0" w:line="238" w:lineRule="auto"/>
        <w:rPr>
          <w:sz w:val="20"/>
          <w:szCs w:val="20"/>
          <w:color w:val="auto"/>
        </w:rPr>
      </w:pPr>
      <w:r>
        <w:rPr>
          <w:rFonts w:ascii="Arial" w:cs="Arial" w:eastAsia="Arial" w:hAnsi="Arial"/>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Revolution Medicines, Inc., 700 Saginaw Drive, Redwood City, CA 94063.</w:t>
      </w:r>
    </w:p>
    <w:p>
      <w:pPr>
        <w:spacing w:after="0" w:line="100" w:lineRule="exact"/>
        <w:rPr>
          <w:rFonts w:ascii="Arial" w:cs="Arial" w:eastAsia="Arial" w:hAnsi="Arial"/>
          <w:sz w:val="18"/>
          <w:szCs w:val="18"/>
          <w:color w:val="auto"/>
        </w:rPr>
      </w:pPr>
    </w:p>
    <w:p>
      <w:pPr>
        <w:ind w:left="120" w:right="100"/>
        <w:spacing w:after="0" w:line="237" w:lineRule="auto"/>
        <w:rPr>
          <w:sz w:val="20"/>
          <w:szCs w:val="20"/>
          <w:color w:val="auto"/>
        </w:rPr>
      </w:pPr>
      <w:r>
        <w:rPr>
          <w:rFonts w:ascii="Arial" w:cs="Arial" w:eastAsia="Arial" w:hAnsi="Arial"/>
          <w:sz w:val="18"/>
          <w:szCs w:val="18"/>
          <w:color w:val="auto"/>
        </w:rPr>
        <w:t>You also may access these filings on our website at www.revmed.com.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00" w:lineRule="exact"/>
        <w:rPr>
          <w:rFonts w:ascii="Arial" w:cs="Arial" w:eastAsia="Arial" w:hAnsi="Arial"/>
          <w:sz w:val="18"/>
          <w:szCs w:val="18"/>
          <w:color w:val="auto"/>
        </w:rPr>
      </w:pPr>
    </w:p>
    <w:p>
      <w:pPr>
        <w:ind w:left="120" w:right="120"/>
        <w:spacing w:after="0" w:line="238"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4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3219"/>
        <w:spacing w:after="0"/>
        <w:rPr>
          <w:sz w:val="20"/>
          <w:szCs w:val="20"/>
          <w:color w:val="auto"/>
        </w:rPr>
      </w:pPr>
      <w:r>
        <w:rPr>
          <w:rFonts w:ascii="Arial" w:cs="Arial" w:eastAsia="Arial" w:hAnsi="Arial"/>
          <w:sz w:val="32"/>
          <w:szCs w:val="32"/>
          <w:b w:val="1"/>
          <w:bCs w:val="1"/>
          <w:i w:val="1"/>
          <w:i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1581150</wp:posOffset>
            </wp:positionV>
            <wp:extent cx="2031365" cy="4457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203136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60"/>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0139"/>
          </w:cols>
          <w:pgMar w:left="320" w:top="459" w:right="1440"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PART II</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8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Amount paid</w:t>
            </w:r>
          </w:p>
        </w:tc>
      </w:tr>
      <w:tr>
        <w:trPr>
          <w:trHeight w:val="221"/>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Item</w:t>
            </w: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or to be paid</w:t>
            </w: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25,459</w:t>
            </w: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29,921</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110,000</w:t>
            </w: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Legal fees and expenses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300,000</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7"/>
                <w:szCs w:val="17"/>
                <w:color w:val="auto"/>
              </w:rPr>
            </w:pPr>
          </w:p>
        </w:tc>
      </w:tr>
      <w:tr>
        <w:trPr>
          <w:trHeight w:val="203"/>
        </w:trPr>
        <w:tc>
          <w:tcPr>
            <w:tcW w:w="9880" w:type="dxa"/>
            <w:vAlign w:val="bottom"/>
          </w:tcPr>
          <w:p>
            <w:pPr>
              <w:spacing w:after="0" w:line="202" w:lineRule="exact"/>
              <w:rPr>
                <w:sz w:val="20"/>
                <w:szCs w:val="20"/>
                <w:color w:val="auto"/>
              </w:rPr>
            </w:pPr>
            <w:r>
              <w:rPr>
                <w:rFonts w:ascii="Arial" w:cs="Arial" w:eastAsia="Arial" w:hAnsi="Arial"/>
                <w:sz w:val="18"/>
                <w:szCs w:val="18"/>
                <w:color w:val="auto"/>
              </w:rPr>
              <w:t>Transfer agent fees and expenses</w:t>
            </w: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r>
      <w:tr>
        <w:trPr>
          <w:trHeight w:val="203"/>
        </w:trPr>
        <w:tc>
          <w:tcPr>
            <w:tcW w:w="9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79,620</w:t>
            </w:r>
          </w:p>
        </w:tc>
        <w:tc>
          <w:tcPr>
            <w:tcW w:w="60" w:type="dxa"/>
            <w:vAlign w:val="bottom"/>
            <w:shd w:val="clear" w:color="auto" w:fill="CCEEFF"/>
          </w:tcPr>
          <w:p>
            <w:pPr>
              <w:spacing w:after="0"/>
              <w:rPr>
                <w:sz w:val="17"/>
                <w:szCs w:val="17"/>
                <w:color w:val="auto"/>
              </w:rPr>
            </w:pPr>
          </w:p>
        </w:tc>
      </w:tr>
      <w:tr>
        <w:trPr>
          <w:trHeight w:val="222"/>
        </w:trPr>
        <w:tc>
          <w:tcPr>
            <w:tcW w:w="9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w:t>
            </w:r>
          </w:p>
        </w:tc>
        <w:tc>
          <w:tcPr>
            <w:tcW w:w="60" w:type="dxa"/>
            <w:vAlign w:val="bottom"/>
          </w:tcPr>
          <w:p>
            <w:pPr>
              <w:spacing w:after="0"/>
              <w:rPr>
                <w:sz w:val="19"/>
                <w:szCs w:val="19"/>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2" w:lineRule="exact"/>
        <w:rPr>
          <w:sz w:val="20"/>
          <w:szCs w:val="20"/>
          <w:color w:val="auto"/>
        </w:rPr>
      </w:pP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ind w:left="340" w:hanging="224"/>
        <w:spacing w:after="0" w:line="23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ind w:left="340" w:hanging="224"/>
        <w:spacing w:after="0" w:line="23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ind w:left="340" w:hanging="224"/>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17" w:lineRule="exact"/>
        <w:rPr>
          <w:sz w:val="20"/>
          <w:szCs w:val="20"/>
          <w:color w:val="auto"/>
        </w:rPr>
      </w:pPr>
    </w:p>
    <w:p>
      <w:pPr>
        <w:ind w:left="340" w:right="100" w:hanging="224"/>
        <w:spacing w:after="0" w:line="23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shall indemnify our directors and officers, and may indemnify our employees and agents to the fullest extent permitted by the Delaware General Corporation Law, subject to limited exceptions;</w:t>
      </w:r>
    </w:p>
    <w:p>
      <w:pPr>
        <w:spacing w:after="0" w:line="114" w:lineRule="exact"/>
        <w:rPr>
          <w:rFonts w:ascii="Arial" w:cs="Arial" w:eastAsia="Arial" w:hAnsi="Arial"/>
          <w:sz w:val="18"/>
          <w:szCs w:val="18"/>
          <w:color w:val="auto"/>
        </w:rPr>
      </w:pPr>
    </w:p>
    <w:p>
      <w:pPr>
        <w:ind w:left="340" w:right="360" w:hanging="224"/>
        <w:spacing w:after="0" w:line="23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shall advance expenses to our directors and officers and may advance expenses to our employees and agents in connection with a legal proceeding to the fullest extent permitted by the Delaware General Corporation Law, subject to limited exceptions; and</w:t>
      </w:r>
    </w:p>
    <w:p>
      <w:pPr>
        <w:spacing w:after="0" w:line="114" w:lineRule="exact"/>
        <w:rPr>
          <w:rFonts w:ascii="Arial" w:cs="Arial" w:eastAsia="Arial" w:hAnsi="Arial"/>
          <w:sz w:val="18"/>
          <w:szCs w:val="18"/>
          <w:color w:val="auto"/>
        </w:rPr>
      </w:pPr>
    </w:p>
    <w:p>
      <w:pPr>
        <w:ind w:left="340" w:hanging="224"/>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Our amended and restated certificate of incorporation and our amended and restated bylaws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6" w:lineRule="exact"/>
        <w:rPr>
          <w:sz w:val="20"/>
          <w:szCs w:val="20"/>
          <w:color w:val="auto"/>
        </w:rPr>
      </w:pPr>
    </w:p>
    <w:p>
      <w:pPr>
        <w:ind w:left="120" w:right="440"/>
        <w:spacing w:after="0" w:line="299" w:lineRule="auto"/>
        <w:rPr>
          <w:sz w:val="20"/>
          <w:szCs w:val="20"/>
          <w:color w:val="auto"/>
        </w:rPr>
      </w:pPr>
      <w:r>
        <w:rPr>
          <w:rFonts w:ascii="Arial" w:cs="Arial" w:eastAsia="Arial" w:hAnsi="Arial"/>
          <w:sz w:val="16"/>
          <w:szCs w:val="16"/>
          <w:color w:val="auto"/>
        </w:rPr>
        <w:t>The form of Underwriting Agreement, to be attached as Exhibit 1.1 hereto, provides for indemnification by the underwriters of us and our officers who sign this Registration Statement and directors for specified liabilities, including matters arising under the Securities Act.</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4"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following list sets forth information as to all securities we have sold since January 1, 2017, which were not registered under the Securities Act.</w:t>
      </w:r>
    </w:p>
    <w:p>
      <w:pPr>
        <w:spacing w:after="0" w:line="114" w:lineRule="exact"/>
        <w:rPr>
          <w:sz w:val="20"/>
          <w:szCs w:val="20"/>
          <w:color w:val="auto"/>
        </w:rPr>
      </w:pPr>
    </w:p>
    <w:p>
      <w:pPr>
        <w:ind w:left="540" w:right="14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April and May 2017, we issued an aggregate of 4,663,747 shares of Series A preferred stock to 5 accredited investors at a price per share of $4.87, for a total amount raised of $22.7 million.</w:t>
      </w:r>
    </w:p>
    <w:p>
      <w:pPr>
        <w:spacing w:after="0" w:line="114" w:lineRule="exact"/>
        <w:rPr>
          <w:rFonts w:ascii="Arial" w:cs="Arial" w:eastAsia="Arial" w:hAnsi="Arial"/>
          <w:sz w:val="18"/>
          <w:szCs w:val="18"/>
          <w:color w:val="auto"/>
        </w:rPr>
      </w:pPr>
    </w:p>
    <w:p>
      <w:pPr>
        <w:ind w:left="540" w:right="16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March and June 2018, we issued an aggregate of 7,731,155 shares of Series B preferred stock to 17 accredited investors at a price per share of $7.30, for a total amount raised of $56.4 million.</w:t>
      </w:r>
    </w:p>
    <w:p>
      <w:pPr>
        <w:spacing w:after="0" w:line="114" w:lineRule="exact"/>
        <w:rPr>
          <w:rFonts w:ascii="Arial" w:cs="Arial" w:eastAsia="Arial" w:hAnsi="Arial"/>
          <w:sz w:val="18"/>
          <w:szCs w:val="18"/>
          <w:color w:val="auto"/>
        </w:rPr>
      </w:pPr>
    </w:p>
    <w:p>
      <w:pPr>
        <w:ind w:left="540" w:right="32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October 2018, we issued an aggregate of 6,797,915 shares of Series B preferred stock to 91 accredited investors pursuant to our acquisition of Warp Drive Bio, Inc.</w:t>
      </w:r>
    </w:p>
    <w:p>
      <w:pPr>
        <w:spacing w:after="0" w:line="114" w:lineRule="exact"/>
        <w:rPr>
          <w:rFonts w:ascii="Arial" w:cs="Arial" w:eastAsia="Arial" w:hAnsi="Arial"/>
          <w:sz w:val="18"/>
          <w:szCs w:val="18"/>
          <w:color w:val="auto"/>
        </w:rPr>
      </w:pPr>
    </w:p>
    <w:p>
      <w:pPr>
        <w:ind w:left="540" w:right="14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October 2018, we issued an aggregate of 200,493 shares of Series B preferred stock to one accredited investor at a price per share of $10.03 pursuant to the conversion of a promissory note.</w:t>
      </w:r>
    </w:p>
    <w:p>
      <w:pPr>
        <w:spacing w:after="0" w:line="114" w:lineRule="exact"/>
        <w:rPr>
          <w:rFonts w:ascii="Arial" w:cs="Arial" w:eastAsia="Arial" w:hAnsi="Arial"/>
          <w:sz w:val="18"/>
          <w:szCs w:val="18"/>
          <w:color w:val="auto"/>
        </w:rPr>
      </w:pPr>
    </w:p>
    <w:p>
      <w:pPr>
        <w:ind w:left="540" w:right="26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November 2018, we issued an aggregate of 435,544 shares of Series B preferred stock to eight accredited investors at a price per share of $10.03, for a total amount raised of $4.4 million.</w:t>
      </w:r>
    </w:p>
    <w:p>
      <w:pPr>
        <w:spacing w:after="0" w:line="114" w:lineRule="exact"/>
        <w:rPr>
          <w:rFonts w:ascii="Arial" w:cs="Arial" w:eastAsia="Arial" w:hAnsi="Arial"/>
          <w:sz w:val="18"/>
          <w:szCs w:val="18"/>
          <w:color w:val="auto"/>
        </w:rPr>
      </w:pPr>
    </w:p>
    <w:p>
      <w:pPr>
        <w:ind w:left="540" w:right="220" w:hanging="424"/>
        <w:spacing w:after="0" w:line="239"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June and July 2019, we issued an aggregate of 10,004,514 shares of Series C preferred stock to 34 accredited investors at a price per share of $10.03, for a total amount raised of $100.3 million.</w:t>
      </w:r>
    </w:p>
    <w:p>
      <w:pPr>
        <w:spacing w:after="0" w:line="114" w:lineRule="exact"/>
        <w:rPr>
          <w:rFonts w:ascii="Arial" w:cs="Arial" w:eastAsia="Arial" w:hAnsi="Arial"/>
          <w:sz w:val="18"/>
          <w:szCs w:val="18"/>
          <w:color w:val="auto"/>
        </w:rPr>
      </w:pPr>
    </w:p>
    <w:p>
      <w:pPr>
        <w:ind w:left="540" w:right="360" w:hanging="424"/>
        <w:spacing w:after="0" w:line="281"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Prior to filing our registration statement on Form S-8 in February 2020, we granted stock options and stock awards to employees, directors and consultants covering an aggregate of 6,516,960 shares of common stock, at a weighted-average exercise price of approximately $4.15 per share. Of these, options covering an aggregate of 196,893 shares were cancelled without being exercised.</w:t>
      </w:r>
    </w:p>
    <w:p>
      <w:pPr>
        <w:spacing w:after="0" w:line="82" w:lineRule="exact"/>
        <w:rPr>
          <w:rFonts w:ascii="Arial" w:cs="Arial" w:eastAsia="Arial" w:hAnsi="Arial"/>
          <w:sz w:val="16"/>
          <w:szCs w:val="16"/>
          <w:color w:val="auto"/>
        </w:rPr>
      </w:pPr>
    </w:p>
    <w:p>
      <w:pPr>
        <w:ind w:left="540" w:right="200" w:hanging="424"/>
        <w:spacing w:after="0" w:line="238"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filing our registration statement on Form S-8 in February 2020, we sold an aggregate of 1,405,976 shares of common stock to employees, directors and consultants for cash consideration in the aggregate amount of approximately $1.0 million pursuant to stock options and stock awards.</w:t>
      </w:r>
    </w:p>
    <w:p>
      <w:pPr>
        <w:spacing w:after="0" w:line="100"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(6) by virtue of Section 4(a)(2) and/or Regulation D promulgated thereunder as transactions not involving any public offering. All of the purchasers of unregistered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03"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paragraphs (7) and (8)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4"/>
          </w:tcPr>
          <w:p>
            <w:pPr>
              <w:ind w:left="40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32"/>
        </w:trPr>
        <w:tc>
          <w:tcPr>
            <w:tcW w:w="960" w:type="dxa"/>
            <w:vAlign w:val="bottom"/>
            <w:vMerge w:val="restart"/>
          </w:tcPr>
          <w:p>
            <w:pPr>
              <w:spacing w:after="0" w:line="202" w:lineRule="exact"/>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0"/>
        </w:trPr>
        <w:tc>
          <w:tcPr>
            <w:tcW w:w="9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rPr>
              <w:t>Exhibit description</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Form</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Date</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Number   Herewith</w:t>
            </w:r>
          </w:p>
        </w:tc>
        <w:tc>
          <w:tcPr>
            <w:tcW w:w="0" w:type="dxa"/>
            <w:vAlign w:val="bottom"/>
          </w:tcPr>
          <w:p>
            <w:pPr>
              <w:spacing w:after="0"/>
              <w:rPr>
                <w:sz w:val="1"/>
                <w:szCs w:val="1"/>
                <w:color w:val="auto"/>
              </w:rPr>
            </w:pPr>
          </w:p>
        </w:tc>
      </w:tr>
      <w:tr>
        <w:trPr>
          <w:trHeight w:val="262"/>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1.1</w:t>
            </w:r>
          </w:p>
        </w:tc>
        <w:tc>
          <w:tcPr>
            <w:tcW w:w="6440" w:type="dxa"/>
            <w:vAlign w:val="bottom"/>
            <w:gridSpan w:val="13"/>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Form of Underwriting Agreement.</w:t>
              </w:r>
            </w:hyperlink>
          </w:p>
        </w:tc>
        <w:tc>
          <w:tcPr>
            <w:tcW w:w="6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2"/>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2.1</w:t>
            </w:r>
          </w:p>
        </w:tc>
        <w:tc>
          <w:tcPr>
            <w:tcW w:w="6020" w:type="dxa"/>
            <w:vAlign w:val="bottom"/>
            <w:tcBorders>
              <w:bottom w:val="single" w:sz="8" w:color="0000EE"/>
            </w:tcBorders>
            <w:gridSpan w:val="8"/>
          </w:tcPr>
          <w:p>
            <w:pPr>
              <w:spacing w:after="0"/>
              <w:rPr>
                <w:rFonts w:ascii="Arial" w:cs="Arial" w:eastAsia="Arial" w:hAnsi="Arial"/>
                <w:sz w:val="18"/>
                <w:szCs w:val="18"/>
                <w:color w:val="0000EE"/>
                <w:w w:val="97"/>
              </w:rPr>
            </w:pPr>
            <w:hyperlink r:id="rId285">
              <w:r>
                <w:rPr>
                  <w:rFonts w:ascii="Arial" w:cs="Arial" w:eastAsia="Arial" w:hAnsi="Arial"/>
                  <w:sz w:val="18"/>
                  <w:szCs w:val="18"/>
                  <w:color w:val="0000EE"/>
                  <w:w w:val="97"/>
                </w:rPr>
                <w:t>Agreement and Plan of Merger, dated as of October 15, 2018, by and among</w:t>
              </w:r>
            </w:hyperlink>
          </w:p>
        </w:tc>
        <w:tc>
          <w:tcPr>
            <w:tcW w:w="420" w:type="dxa"/>
            <w:vAlign w:val="bottom"/>
            <w:gridSpan w:val="5"/>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610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Revolution Medicines, Inc., Trotsky Merger Sub, Inc., Warp Drive Bio, Inc., and</w:t>
              </w:r>
            </w:hyperlink>
          </w:p>
        </w:tc>
        <w:tc>
          <w:tcPr>
            <w:tcW w:w="34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58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r:id="rId285">
              <w:r>
                <w:rPr>
                  <w:rFonts w:ascii="Arial" w:cs="Arial" w:eastAsia="Arial" w:hAnsi="Arial"/>
                  <w:sz w:val="18"/>
                  <w:szCs w:val="18"/>
                  <w:color w:val="0000EE"/>
                  <w:w w:val="96"/>
                </w:rPr>
                <w:t>Fortis Advisors LLC.</w:t>
              </w:r>
            </w:hyperlink>
          </w:p>
        </w:tc>
        <w:tc>
          <w:tcPr>
            <w:tcW w:w="4860" w:type="dxa"/>
            <w:vAlign w:val="bottom"/>
            <w:gridSpan w:val="11"/>
          </w:tcPr>
          <w:p>
            <w:pPr>
              <w:spacing w:after="0"/>
              <w:rPr>
                <w:sz w:val="15"/>
                <w:szCs w:val="15"/>
                <w:color w:val="auto"/>
              </w:rPr>
            </w:pPr>
          </w:p>
        </w:tc>
        <w:tc>
          <w:tcPr>
            <w:tcW w:w="680" w:type="dxa"/>
            <w:vAlign w:val="bottom"/>
          </w:tcPr>
          <w:p>
            <w:pPr>
              <w:ind w:left="14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3.1</w:t>
            </w:r>
          </w:p>
        </w:tc>
        <w:tc>
          <w:tcPr>
            <w:tcW w:w="6440" w:type="dxa"/>
            <w:vAlign w:val="bottom"/>
            <w:gridSpan w:val="13"/>
          </w:tcPr>
          <w:p>
            <w:pPr>
              <w:spacing w:after="0"/>
              <w:rPr>
                <w:rFonts w:ascii="Arial" w:cs="Arial" w:eastAsia="Arial" w:hAnsi="Arial"/>
                <w:sz w:val="18"/>
                <w:szCs w:val="18"/>
                <w:u w:val="single" w:color="auto"/>
                <w:color w:val="0000EE"/>
              </w:rPr>
            </w:pPr>
            <w:hyperlink r:id="rId286">
              <w:r>
                <w:rPr>
                  <w:rFonts w:ascii="Arial" w:cs="Arial" w:eastAsia="Arial" w:hAnsi="Arial"/>
                  <w:sz w:val="18"/>
                  <w:szCs w:val="18"/>
                  <w:u w:val="single" w:color="auto"/>
                  <w:color w:val="0000EE"/>
                </w:rPr>
                <w:t>Amended and Restated Certificate of Incorporation.</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2/18/2020</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6440" w:type="dxa"/>
            <w:vAlign w:val="bottom"/>
            <w:gridSpan w:val="13"/>
          </w:tcPr>
          <w:p>
            <w:pPr>
              <w:spacing w:after="0"/>
              <w:rPr>
                <w:rFonts w:ascii="Arial" w:cs="Arial" w:eastAsia="Arial" w:hAnsi="Arial"/>
                <w:sz w:val="18"/>
                <w:szCs w:val="18"/>
                <w:u w:val="single" w:color="auto"/>
                <w:color w:val="0000EE"/>
              </w:rPr>
            </w:pPr>
            <w:hyperlink r:id="rId287">
              <w:r>
                <w:rPr>
                  <w:rFonts w:ascii="Arial" w:cs="Arial" w:eastAsia="Arial" w:hAnsi="Arial"/>
                  <w:sz w:val="18"/>
                  <w:szCs w:val="18"/>
                  <w:u w:val="single" w:color="auto"/>
                  <w:color w:val="0000EE"/>
                </w:rPr>
                <w:t>Amended and Restated Bylaws.</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8-K</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2/18/2020</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4.1</w:t>
            </w:r>
          </w:p>
        </w:tc>
        <w:tc>
          <w:tcPr>
            <w:tcW w:w="6440" w:type="dxa"/>
            <w:vAlign w:val="bottom"/>
            <w:gridSpan w:val="13"/>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286">
              <w:r>
                <w:rPr>
                  <w:rFonts w:ascii="Arial" w:cs="Arial" w:eastAsia="Arial" w:hAnsi="Arial"/>
                  <w:sz w:val="18"/>
                  <w:szCs w:val="18"/>
                  <w:u w:val="single" w:color="auto"/>
                  <w:color w:val="0000EE"/>
                </w:rPr>
                <w:t>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through </w:t>
            </w:r>
            <w:hyperlink r:id="rId287">
              <w:r>
                <w:rPr>
                  <w:rFonts w:ascii="Arial" w:cs="Arial" w:eastAsia="Arial" w:hAnsi="Arial"/>
                  <w:sz w:val="18"/>
                  <w:szCs w:val="18"/>
                  <w:u w:val="single" w:color="auto"/>
                  <w:color w:val="0000EE"/>
                </w:rPr>
                <w:t>3.2</w:t>
              </w:r>
            </w:hyperlink>
            <w:r>
              <w:rPr>
                <w:rFonts w:ascii="Arial" w:cs="Arial" w:eastAsia="Arial" w:hAnsi="Arial"/>
                <w:sz w:val="18"/>
                <w:szCs w:val="18"/>
                <w:color w:val="auto"/>
              </w:rPr>
              <w:t>.</w:t>
            </w:r>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4.2</w:t>
            </w:r>
          </w:p>
        </w:tc>
        <w:tc>
          <w:tcPr>
            <w:tcW w:w="6440" w:type="dxa"/>
            <w:vAlign w:val="bottom"/>
            <w:gridSpan w:val="13"/>
          </w:tcPr>
          <w:p>
            <w:pPr>
              <w:spacing w:after="0"/>
              <w:rPr>
                <w:rFonts w:ascii="Arial" w:cs="Arial" w:eastAsia="Arial" w:hAnsi="Arial"/>
                <w:sz w:val="18"/>
                <w:szCs w:val="18"/>
                <w:u w:val="single" w:color="auto"/>
                <w:color w:val="0000EE"/>
              </w:rPr>
            </w:pPr>
            <w:hyperlink r:id="rId288">
              <w:r>
                <w:rPr>
                  <w:rFonts w:ascii="Arial" w:cs="Arial" w:eastAsia="Arial" w:hAnsi="Arial"/>
                  <w:sz w:val="18"/>
                  <w:szCs w:val="18"/>
                  <w:u w:val="single" w:color="auto"/>
                  <w:color w:val="0000EE"/>
                </w:rPr>
                <w:t>Form of Common Stock Certificate.</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jc w:val="right"/>
              <w:ind w:right="532"/>
              <w:spacing w:after="0"/>
              <w:rPr>
                <w:sz w:val="20"/>
                <w:szCs w:val="20"/>
                <w:color w:val="auto"/>
              </w:rPr>
            </w:pPr>
            <w:r>
              <w:rPr>
                <w:rFonts w:ascii="Arial" w:cs="Arial" w:eastAsia="Arial" w:hAnsi="Arial"/>
                <w:sz w:val="18"/>
                <w:szCs w:val="18"/>
                <w:color w:val="auto"/>
              </w:rPr>
              <w:t>5.1</w:t>
            </w:r>
          </w:p>
        </w:tc>
        <w:tc>
          <w:tcPr>
            <w:tcW w:w="6440" w:type="dxa"/>
            <w:vAlign w:val="bottom"/>
            <w:gridSpan w:val="13"/>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Opinion of Latham &amp; Watkins LLP.</w:t>
              </w:r>
            </w:hyperlink>
          </w:p>
        </w:tc>
        <w:tc>
          <w:tcPr>
            <w:tcW w:w="6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0" w:type="dxa"/>
            <w:vAlign w:val="bottom"/>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2"/>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6240" w:type="dxa"/>
            <w:vAlign w:val="bottom"/>
            <w:tcBorders>
              <w:bottom w:val="single" w:sz="8" w:color="0000EE"/>
            </w:tcBorders>
            <w:gridSpan w:val="11"/>
          </w:tcPr>
          <w:p>
            <w:pPr>
              <w:spacing w:after="0"/>
              <w:rPr>
                <w:rFonts w:ascii="Arial" w:cs="Arial" w:eastAsia="Arial" w:hAnsi="Arial"/>
                <w:sz w:val="18"/>
                <w:szCs w:val="18"/>
                <w:color w:val="0000EE"/>
                <w:w w:val="97"/>
              </w:rPr>
            </w:pPr>
            <w:hyperlink r:id="rId289">
              <w:r>
                <w:rPr>
                  <w:rFonts w:ascii="Arial" w:cs="Arial" w:eastAsia="Arial" w:hAnsi="Arial"/>
                  <w:sz w:val="18"/>
                  <w:szCs w:val="18"/>
                  <w:color w:val="0000EE"/>
                  <w:w w:val="97"/>
                </w:rPr>
                <w:t>Collaborative Research, Development and Commercialization Agreement, dated</w:t>
              </w:r>
            </w:hyperlink>
          </w:p>
        </w:tc>
        <w:tc>
          <w:tcPr>
            <w:tcW w:w="20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632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r:id="rId289">
              <w:r>
                <w:rPr>
                  <w:rFonts w:ascii="Arial" w:cs="Arial" w:eastAsia="Arial" w:hAnsi="Arial"/>
                  <w:sz w:val="18"/>
                  <w:szCs w:val="18"/>
                  <w:color w:val="0000EE"/>
                  <w:w w:val="97"/>
                </w:rPr>
                <w:t>as of June 8, 2018, by and between Revolution Medicines, Inc. and Aventis, Inc.,</w:t>
              </w:r>
            </w:hyperlink>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6440" w:type="dxa"/>
            <w:vAlign w:val="bottom"/>
            <w:gridSpan w:val="13"/>
          </w:tcPr>
          <w:p>
            <w:pPr>
              <w:spacing w:after="0" w:line="182" w:lineRule="exact"/>
              <w:rPr>
                <w:rFonts w:ascii="Arial" w:cs="Arial" w:eastAsia="Arial" w:hAnsi="Arial"/>
                <w:sz w:val="18"/>
                <w:szCs w:val="18"/>
                <w:color w:val="0000EE"/>
              </w:rPr>
            </w:pPr>
            <w:hyperlink r:id="rId289">
              <w:r>
                <w:rPr>
                  <w:rFonts w:ascii="Arial" w:cs="Arial" w:eastAsia="Arial" w:hAnsi="Arial"/>
                  <w:sz w:val="18"/>
                  <w:szCs w:val="18"/>
                  <w:color w:val="0000EE"/>
                </w:rPr>
                <w:t>as amended.</w:t>
              </w:r>
            </w:hyperlink>
          </w:p>
        </w:tc>
        <w:tc>
          <w:tcPr>
            <w:tcW w:w="680" w:type="dxa"/>
            <w:vAlign w:val="bottom"/>
          </w:tcPr>
          <w:p>
            <w:pPr>
              <w:ind w:left="14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w w:val="96"/>
              </w:rPr>
              <w:t>10.1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jc w:val="right"/>
              <w:ind w:right="532"/>
              <w:spacing w:after="0"/>
              <w:rPr>
                <w:sz w:val="20"/>
                <w:szCs w:val="20"/>
                <w:color w:val="auto"/>
              </w:rPr>
            </w:pPr>
            <w:r>
              <w:rPr>
                <w:rFonts w:ascii="Arial" w:cs="Arial" w:eastAsia="Arial" w:hAnsi="Arial"/>
                <w:sz w:val="18"/>
                <w:szCs w:val="18"/>
                <w:color w:val="auto"/>
                <w:w w:val="91"/>
              </w:rPr>
              <w:t>10.2</w:t>
            </w:r>
          </w:p>
        </w:tc>
        <w:tc>
          <w:tcPr>
            <w:tcW w:w="6220" w:type="dxa"/>
            <w:vAlign w:val="bottom"/>
            <w:tcBorders>
              <w:bottom w:val="single" w:sz="8" w:color="0000EE"/>
            </w:tcBorders>
            <w:gridSpan w:val="10"/>
          </w:tcPr>
          <w:p>
            <w:pPr>
              <w:spacing w:after="0"/>
              <w:rPr>
                <w:rFonts w:ascii="Arial" w:cs="Arial" w:eastAsia="Arial" w:hAnsi="Arial"/>
                <w:sz w:val="18"/>
                <w:szCs w:val="18"/>
                <w:color w:val="0000EE"/>
                <w:w w:val="97"/>
              </w:rPr>
            </w:pPr>
            <w:hyperlink r:id="rId290">
              <w:r>
                <w:rPr>
                  <w:rFonts w:ascii="Arial" w:cs="Arial" w:eastAsia="Arial" w:hAnsi="Arial"/>
                  <w:sz w:val="18"/>
                  <w:szCs w:val="18"/>
                  <w:color w:val="0000EE"/>
                  <w:w w:val="97"/>
                </w:rPr>
                <w:t>Amended and Restated Investors’ Rights Agreement, dated as of June 5, 2019,</w:t>
              </w:r>
            </w:hyperlink>
          </w:p>
        </w:tc>
        <w:tc>
          <w:tcPr>
            <w:tcW w:w="220" w:type="dxa"/>
            <w:vAlign w:val="bottom"/>
            <w:gridSpan w:val="3"/>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960" w:type="dxa"/>
            <w:vAlign w:val="bottom"/>
          </w:tcPr>
          <w:p>
            <w:pPr>
              <w:spacing w:after="0"/>
              <w:rPr>
                <w:sz w:val="19"/>
                <w:szCs w:val="19"/>
                <w:color w:val="auto"/>
              </w:rPr>
            </w:pPr>
          </w:p>
        </w:tc>
        <w:tc>
          <w:tcPr>
            <w:tcW w:w="6440" w:type="dxa"/>
            <w:vAlign w:val="bottom"/>
            <w:gridSpan w:val="13"/>
          </w:tcPr>
          <w:p>
            <w:pPr>
              <w:spacing w:after="0"/>
              <w:rPr>
                <w:rFonts w:ascii="Arial" w:cs="Arial" w:eastAsia="Arial" w:hAnsi="Arial"/>
                <w:sz w:val="18"/>
                <w:szCs w:val="18"/>
                <w:u w:val="single" w:color="auto"/>
                <w:color w:val="0000EE"/>
              </w:rPr>
            </w:pPr>
            <w:hyperlink r:id="rId290">
              <w:r>
                <w:rPr>
                  <w:rFonts w:ascii="Arial" w:cs="Arial" w:eastAsia="Arial" w:hAnsi="Arial"/>
                  <w:sz w:val="18"/>
                  <w:szCs w:val="18"/>
                  <w:u w:val="single" w:color="auto"/>
                  <w:color w:val="0000EE"/>
                </w:rPr>
                <w:t>by and among Revolution Medicines, Inc. and the investors listed therein.</w:t>
              </w:r>
            </w:hyperlink>
          </w:p>
        </w:tc>
        <w:tc>
          <w:tcPr>
            <w:tcW w:w="680" w:type="dxa"/>
            <w:vAlign w:val="bottom"/>
          </w:tcPr>
          <w:p>
            <w:pPr>
              <w:ind w:left="140"/>
              <w:spacing w:after="0"/>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960" w:type="dxa"/>
            <w:vAlign w:val="bottom"/>
          </w:tcPr>
          <w:p>
            <w:pPr>
              <w:spacing w:after="0"/>
              <w:rPr>
                <w:sz w:val="20"/>
                <w:szCs w:val="20"/>
                <w:color w:val="auto"/>
              </w:rPr>
            </w:pPr>
            <w:r>
              <w:rPr>
                <w:rFonts w:ascii="Arial" w:cs="Arial" w:eastAsia="Arial" w:hAnsi="Arial"/>
                <w:sz w:val="18"/>
                <w:szCs w:val="18"/>
                <w:color w:val="auto"/>
              </w:rPr>
              <w:t>10.3A</w:t>
            </w:r>
          </w:p>
        </w:tc>
        <w:tc>
          <w:tcPr>
            <w:tcW w:w="6440" w:type="dxa"/>
            <w:vAlign w:val="bottom"/>
            <w:gridSpan w:val="13"/>
          </w:tcPr>
          <w:p>
            <w:pPr>
              <w:spacing w:after="0"/>
              <w:rPr>
                <w:rFonts w:ascii="Arial" w:cs="Arial" w:eastAsia="Arial" w:hAnsi="Arial"/>
                <w:sz w:val="18"/>
                <w:szCs w:val="18"/>
                <w:color w:val="0000EE"/>
              </w:rPr>
            </w:pPr>
            <w:hyperlink r:id="rId291">
              <w:r>
                <w:rPr>
                  <w:rFonts w:ascii="Arial" w:cs="Arial" w:eastAsia="Arial" w:hAnsi="Arial"/>
                  <w:sz w:val="18"/>
                  <w:szCs w:val="18"/>
                  <w:color w:val="0000EE"/>
                </w:rPr>
                <w:t>Lease between HCP LS Redwood City, LLC and Revolution Medicines, Inc.,</w:t>
              </w:r>
            </w:hyperlink>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r:id="rId291">
              <w:r>
                <w:rPr>
                  <w:rFonts w:ascii="Arial" w:cs="Arial" w:eastAsia="Arial" w:hAnsi="Arial"/>
                  <w:sz w:val="18"/>
                  <w:szCs w:val="18"/>
                  <w:color w:val="0000EE"/>
                  <w:w w:val="96"/>
                </w:rPr>
                <w:t>dated as of January 15, 2015.</w:t>
              </w:r>
            </w:hyperlink>
          </w:p>
        </w:tc>
        <w:tc>
          <w:tcPr>
            <w:tcW w:w="3580" w:type="dxa"/>
            <w:vAlign w:val="bottom"/>
            <w:tcBorders>
              <w:top w:val="single" w:sz="8" w:color="0000EE"/>
            </w:tcBorders>
            <w:gridSpan w:val="3"/>
          </w:tcPr>
          <w:p>
            <w:pPr>
              <w:spacing w:after="0"/>
              <w:rPr>
                <w:sz w:val="15"/>
                <w:szCs w:val="15"/>
                <w:color w:val="auto"/>
              </w:rPr>
            </w:pPr>
          </w:p>
        </w:tc>
        <w:tc>
          <w:tcPr>
            <w:tcW w:w="540" w:type="dxa"/>
            <w:vAlign w:val="bottom"/>
            <w:gridSpan w:val="7"/>
          </w:tcPr>
          <w:p>
            <w:pPr>
              <w:spacing w:after="0"/>
              <w:rPr>
                <w:sz w:val="15"/>
                <w:szCs w:val="15"/>
                <w:color w:val="auto"/>
              </w:rPr>
            </w:pPr>
          </w:p>
        </w:tc>
        <w:tc>
          <w:tcPr>
            <w:tcW w:w="680" w:type="dxa"/>
            <w:vAlign w:val="bottom"/>
          </w:tcPr>
          <w:p>
            <w:pPr>
              <w:ind w:left="14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1760" w:type="dxa"/>
            <w:vAlign w:val="bottom"/>
            <w:gridSpan w:val="2"/>
          </w:tcPr>
          <w:p>
            <w:pPr>
              <w:jc w:val="center"/>
              <w:ind w:right="892"/>
              <w:spacing w:after="0" w:line="182" w:lineRule="exact"/>
              <w:rPr>
                <w:sz w:val="20"/>
                <w:szCs w:val="20"/>
                <w:color w:val="auto"/>
              </w:rPr>
            </w:pPr>
            <w:r>
              <w:rPr>
                <w:rFonts w:ascii="Arial" w:cs="Arial" w:eastAsia="Arial" w:hAnsi="Arial"/>
                <w:sz w:val="18"/>
                <w:szCs w:val="18"/>
                <w:color w:val="auto"/>
                <w:w w:val="97"/>
              </w:rPr>
              <w:t>10.3A</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10.3B</w:t>
            </w:r>
          </w:p>
        </w:tc>
        <w:tc>
          <w:tcPr>
            <w:tcW w:w="5920" w:type="dxa"/>
            <w:vAlign w:val="bottom"/>
            <w:tcBorders>
              <w:bottom w:val="single" w:sz="8" w:color="0000EE"/>
            </w:tcBorders>
            <w:gridSpan w:val="7"/>
          </w:tcPr>
          <w:p>
            <w:pPr>
              <w:spacing w:after="0"/>
              <w:rPr>
                <w:rFonts w:ascii="Arial" w:cs="Arial" w:eastAsia="Arial" w:hAnsi="Arial"/>
                <w:sz w:val="18"/>
                <w:szCs w:val="18"/>
                <w:color w:val="0000EE"/>
                <w:w w:val="96"/>
              </w:rPr>
            </w:pPr>
            <w:hyperlink r:id="rId292">
              <w:r>
                <w:rPr>
                  <w:rFonts w:ascii="Arial" w:cs="Arial" w:eastAsia="Arial" w:hAnsi="Arial"/>
                  <w:sz w:val="18"/>
                  <w:szCs w:val="18"/>
                  <w:color w:val="0000EE"/>
                  <w:w w:val="96"/>
                </w:rPr>
                <w:t>First Amendment to Lease by and between HCP LS Redwood City, LLC and</w:t>
              </w:r>
            </w:hyperlink>
          </w:p>
        </w:tc>
        <w:tc>
          <w:tcPr>
            <w:tcW w:w="52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4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r:id="rId292">
              <w:r>
                <w:rPr>
                  <w:rFonts w:ascii="Arial" w:cs="Arial" w:eastAsia="Arial" w:hAnsi="Arial"/>
                  <w:sz w:val="18"/>
                  <w:szCs w:val="18"/>
                  <w:color w:val="0000EE"/>
                  <w:w w:val="97"/>
                </w:rPr>
                <w:t>Revolution Medicines, Inc., dated as of September 16, 2016.</w:t>
              </w:r>
            </w:hyperlink>
          </w:p>
        </w:tc>
        <w:tc>
          <w:tcPr>
            <w:tcW w:w="1740" w:type="dxa"/>
            <w:vAlign w:val="bottom"/>
            <w:gridSpan w:val="8"/>
          </w:tcPr>
          <w:p>
            <w:pPr>
              <w:spacing w:after="0"/>
              <w:rPr>
                <w:sz w:val="15"/>
                <w:szCs w:val="15"/>
                <w:color w:val="auto"/>
              </w:rPr>
            </w:pPr>
          </w:p>
        </w:tc>
        <w:tc>
          <w:tcPr>
            <w:tcW w:w="680" w:type="dxa"/>
            <w:vAlign w:val="bottom"/>
          </w:tcPr>
          <w:p>
            <w:pPr>
              <w:ind w:left="14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1760" w:type="dxa"/>
            <w:vAlign w:val="bottom"/>
            <w:gridSpan w:val="2"/>
          </w:tcPr>
          <w:p>
            <w:pPr>
              <w:jc w:val="center"/>
              <w:ind w:right="892"/>
              <w:spacing w:after="0" w:line="182" w:lineRule="exact"/>
              <w:rPr>
                <w:sz w:val="20"/>
                <w:szCs w:val="20"/>
                <w:color w:val="auto"/>
              </w:rPr>
            </w:pPr>
            <w:r>
              <w:rPr>
                <w:rFonts w:ascii="Arial" w:cs="Arial" w:eastAsia="Arial" w:hAnsi="Arial"/>
                <w:sz w:val="18"/>
                <w:szCs w:val="18"/>
                <w:color w:val="auto"/>
                <w:w w:val="97"/>
              </w:rPr>
              <w:t>10.3B</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0"/>
                <w:szCs w:val="20"/>
                <w:color w:val="auto"/>
              </w:rPr>
            </w:pPr>
            <w:r>
              <w:rPr>
                <w:rFonts w:ascii="Arial" w:cs="Arial" w:eastAsia="Arial" w:hAnsi="Arial"/>
                <w:sz w:val="18"/>
                <w:szCs w:val="18"/>
                <w:color w:val="auto"/>
              </w:rPr>
              <w:t>10.3C</w:t>
            </w:r>
          </w:p>
        </w:tc>
        <w:tc>
          <w:tcPr>
            <w:tcW w:w="4360" w:type="dxa"/>
            <w:vAlign w:val="bottom"/>
            <w:tcBorders>
              <w:bottom w:val="single" w:sz="8" w:color="0000EE"/>
            </w:tcBorders>
            <w:gridSpan w:val="4"/>
          </w:tcPr>
          <w:p>
            <w:pPr>
              <w:spacing w:after="0"/>
              <w:rPr>
                <w:rFonts w:ascii="Arial" w:cs="Arial" w:eastAsia="Arial" w:hAnsi="Arial"/>
                <w:sz w:val="18"/>
                <w:szCs w:val="18"/>
                <w:color w:val="0000EE"/>
                <w:w w:val="97"/>
              </w:rPr>
            </w:pPr>
            <w:hyperlink r:id="rId293">
              <w:r>
                <w:rPr>
                  <w:rFonts w:ascii="Arial" w:cs="Arial" w:eastAsia="Arial" w:hAnsi="Arial"/>
                  <w:sz w:val="18"/>
                  <w:szCs w:val="18"/>
                  <w:color w:val="0000EE"/>
                  <w:w w:val="97"/>
                </w:rPr>
                <w:t>Sublease between OncoMed Pharmaceuticals, Inc. and</w:t>
              </w:r>
            </w:hyperlink>
          </w:p>
        </w:tc>
        <w:tc>
          <w:tcPr>
            <w:tcW w:w="2080" w:type="dxa"/>
            <w:vAlign w:val="bottom"/>
            <w:gridSpan w:val="9"/>
          </w:tcPr>
          <w:p>
            <w:pPr>
              <w:spacing w:after="0"/>
              <w:rPr>
                <w:sz w:val="21"/>
                <w:szCs w:val="21"/>
                <w:color w:val="auto"/>
              </w:rPr>
            </w:pPr>
          </w:p>
        </w:tc>
        <w:tc>
          <w:tcPr>
            <w:tcW w:w="6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960" w:type="dxa"/>
            <w:vAlign w:val="bottom"/>
            <w:tcBorders>
              <w:bottom w:val="single" w:sz="8" w:color="auto"/>
            </w:tcBorders>
          </w:tcPr>
          <w:p>
            <w:pPr>
              <w:spacing w:after="0"/>
              <w:rPr>
                <w:sz w:val="19"/>
                <w:szCs w:val="19"/>
                <w:color w:val="auto"/>
              </w:rPr>
            </w:pPr>
          </w:p>
        </w:tc>
        <w:tc>
          <w:tcPr>
            <w:tcW w:w="6440" w:type="dxa"/>
            <w:vAlign w:val="bottom"/>
            <w:tcBorders>
              <w:bottom w:val="single" w:sz="8" w:color="auto"/>
            </w:tcBorders>
            <w:gridSpan w:val="13"/>
          </w:tcPr>
          <w:p>
            <w:pPr>
              <w:spacing w:after="0"/>
              <w:rPr>
                <w:rFonts w:ascii="Arial" w:cs="Arial" w:eastAsia="Arial" w:hAnsi="Arial"/>
                <w:sz w:val="18"/>
                <w:szCs w:val="18"/>
                <w:u w:val="single" w:color="auto"/>
                <w:color w:val="0000EE"/>
              </w:rPr>
            </w:pPr>
            <w:hyperlink r:id="rId293">
              <w:r>
                <w:rPr>
                  <w:rFonts w:ascii="Arial" w:cs="Arial" w:eastAsia="Arial" w:hAnsi="Arial"/>
                  <w:sz w:val="18"/>
                  <w:szCs w:val="18"/>
                  <w:u w:val="single" w:color="auto"/>
                  <w:color w:val="0000EE"/>
                </w:rPr>
                <w:t>Revolution Medicines, Inc., dated as of January 16, 2019.</w:t>
              </w:r>
            </w:hyperlink>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S-1</w:t>
            </w:r>
          </w:p>
        </w:tc>
        <w:tc>
          <w:tcPr>
            <w:tcW w:w="11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1/17/2020</w:t>
            </w:r>
          </w:p>
        </w:tc>
        <w:tc>
          <w:tcPr>
            <w:tcW w:w="1760" w:type="dxa"/>
            <w:vAlign w:val="bottom"/>
            <w:tcBorders>
              <w:bottom w:val="single" w:sz="8" w:color="auto"/>
            </w:tcBorders>
            <w:gridSpan w:val="2"/>
          </w:tcPr>
          <w:p>
            <w:pPr>
              <w:jc w:val="center"/>
              <w:ind w:right="912"/>
              <w:spacing w:after="0"/>
              <w:rPr>
                <w:sz w:val="20"/>
                <w:szCs w:val="20"/>
                <w:color w:val="auto"/>
              </w:rPr>
            </w:pPr>
            <w:r>
              <w:rPr>
                <w:rFonts w:ascii="Arial" w:cs="Arial" w:eastAsia="Arial" w:hAnsi="Arial"/>
                <w:sz w:val="18"/>
                <w:szCs w:val="18"/>
                <w:color w:val="auto"/>
                <w:w w:val="99"/>
              </w:rPr>
              <w:t>10.3C</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Incorporated by Reference</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1"/>
        </w:trPr>
        <w:tc>
          <w:tcPr>
            <w:tcW w:w="8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12"/>
          </w:tcPr>
          <w:p>
            <w:pPr>
              <w:ind w:left="1200"/>
              <w:spacing w:after="0"/>
              <w:rPr>
                <w:sz w:val="20"/>
                <w:szCs w:val="20"/>
                <w:color w:val="auto"/>
              </w:rPr>
            </w:pPr>
            <w:r>
              <w:rPr>
                <w:rFonts w:ascii="Arial" w:cs="Arial" w:eastAsia="Arial" w:hAnsi="Arial"/>
                <w:sz w:val="18"/>
                <w:szCs w:val="18"/>
                <w:b w:val="1"/>
                <w:bCs w:val="1"/>
                <w:color w:val="auto"/>
              </w:rPr>
              <w:t>Exhibit description</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Form</w:t>
            </w:r>
          </w:p>
        </w:tc>
        <w:tc>
          <w:tcPr>
            <w:tcW w:w="14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10.3D</w:t>
            </w:r>
          </w:p>
        </w:tc>
        <w:tc>
          <w:tcPr>
            <w:tcW w:w="5840" w:type="dxa"/>
            <w:vAlign w:val="bottom"/>
            <w:tcBorders>
              <w:bottom w:val="single" w:sz="8" w:color="0000EE"/>
            </w:tcBorders>
            <w:gridSpan w:val="16"/>
          </w:tcPr>
          <w:p>
            <w:pPr>
              <w:spacing w:after="0"/>
              <w:rPr>
                <w:rFonts w:ascii="Arial" w:cs="Arial" w:eastAsia="Arial" w:hAnsi="Arial"/>
                <w:sz w:val="18"/>
                <w:szCs w:val="18"/>
                <w:color w:val="0000EE"/>
                <w:w w:val="97"/>
              </w:rPr>
            </w:pPr>
            <w:hyperlink r:id="rId296">
              <w:r>
                <w:rPr>
                  <w:rFonts w:ascii="Arial" w:cs="Arial" w:eastAsia="Arial" w:hAnsi="Arial"/>
                  <w:sz w:val="18"/>
                  <w:szCs w:val="18"/>
                  <w:color w:val="0000EE"/>
                  <w:w w:val="97"/>
                </w:rPr>
                <w:t>Second Amendment to Lease by and between HCP LS Redwood City, LLC</w:t>
              </w:r>
            </w:hyperlink>
          </w:p>
        </w:tc>
        <w:tc>
          <w:tcPr>
            <w:tcW w:w="380" w:type="dxa"/>
            <w:vAlign w:val="bottom"/>
            <w:gridSpan w:val="5"/>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54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r:id="rId296">
              <w:r>
                <w:rPr>
                  <w:rFonts w:ascii="Arial" w:cs="Arial" w:eastAsia="Arial" w:hAnsi="Arial"/>
                  <w:sz w:val="18"/>
                  <w:szCs w:val="18"/>
                  <w:color w:val="0000EE"/>
                  <w:w w:val="97"/>
                </w:rPr>
                <w:t>and Revolution Medicines, Inc., dated as of April 17, 2020.</w:t>
              </w:r>
            </w:hyperlink>
          </w:p>
        </w:tc>
        <w:tc>
          <w:tcPr>
            <w:tcW w:w="1680" w:type="dxa"/>
            <w:vAlign w:val="bottom"/>
            <w:gridSpan w:val="11"/>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4"/>
              </w:rPr>
              <w:t>10-Q</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5/14/2020</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6"/>
              </w:rPr>
              <w:t>10.4</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10.4A</w:t>
            </w:r>
          </w:p>
        </w:tc>
        <w:tc>
          <w:tcPr>
            <w:tcW w:w="5960" w:type="dxa"/>
            <w:vAlign w:val="bottom"/>
            <w:tcBorders>
              <w:bottom w:val="single" w:sz="8" w:color="0000EE"/>
            </w:tcBorders>
            <w:gridSpan w:val="20"/>
          </w:tcPr>
          <w:p>
            <w:pPr>
              <w:spacing w:after="0"/>
              <w:rPr>
                <w:rFonts w:ascii="Arial" w:cs="Arial" w:eastAsia="Arial" w:hAnsi="Arial"/>
                <w:sz w:val="18"/>
                <w:szCs w:val="18"/>
                <w:color w:val="0000EE"/>
                <w:w w:val="97"/>
              </w:rPr>
            </w:pPr>
            <w:hyperlink r:id="rId297">
              <w:r>
                <w:rPr>
                  <w:rFonts w:ascii="Arial" w:cs="Arial" w:eastAsia="Arial" w:hAnsi="Arial"/>
                  <w:sz w:val="18"/>
                  <w:szCs w:val="18"/>
                  <w:color w:val="0000EE"/>
                  <w:w w:val="97"/>
                </w:rPr>
                <w:t>Lease Agreement between Are-Tech Square, LLC and Warp Drive Bio, LLC,</w:t>
              </w:r>
            </w:hyperlink>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220" w:type="dxa"/>
            <w:vAlign w:val="bottom"/>
            <w:gridSpan w:val="21"/>
          </w:tcPr>
          <w:p>
            <w:pPr>
              <w:spacing w:after="0" w:line="182" w:lineRule="exact"/>
              <w:rPr>
                <w:rFonts w:ascii="Arial" w:cs="Arial" w:eastAsia="Arial" w:hAnsi="Arial"/>
                <w:sz w:val="18"/>
                <w:szCs w:val="18"/>
                <w:color w:val="0000EE"/>
              </w:rPr>
            </w:pPr>
            <w:hyperlink r:id="rId297">
              <w:r>
                <w:rPr>
                  <w:rFonts w:ascii="Arial" w:cs="Arial" w:eastAsia="Arial" w:hAnsi="Arial"/>
                  <w:sz w:val="18"/>
                  <w:szCs w:val="18"/>
                  <w:color w:val="0000EE"/>
                </w:rPr>
                <w:t>dated as of August 22, 2012.</w:t>
              </w:r>
            </w:hyperlink>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97"/>
              </w:rPr>
              <w:t>10.4A</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10.4B</w:t>
            </w:r>
          </w:p>
        </w:tc>
        <w:tc>
          <w:tcPr>
            <w:tcW w:w="5940" w:type="dxa"/>
            <w:vAlign w:val="bottom"/>
            <w:tcBorders>
              <w:bottom w:val="single" w:sz="8" w:color="0000EE"/>
            </w:tcBorders>
            <w:gridSpan w:val="19"/>
          </w:tcPr>
          <w:p>
            <w:pPr>
              <w:spacing w:after="0"/>
              <w:rPr>
                <w:rFonts w:ascii="Arial" w:cs="Arial" w:eastAsia="Arial" w:hAnsi="Arial"/>
                <w:sz w:val="18"/>
                <w:szCs w:val="18"/>
                <w:color w:val="0000EE"/>
                <w:w w:val="96"/>
              </w:rPr>
            </w:pPr>
            <w:hyperlink r:id="rId298">
              <w:r>
                <w:rPr>
                  <w:rFonts w:ascii="Arial" w:cs="Arial" w:eastAsia="Arial" w:hAnsi="Arial"/>
                  <w:sz w:val="18"/>
                  <w:szCs w:val="18"/>
                  <w:color w:val="0000EE"/>
                  <w:w w:val="96"/>
                </w:rPr>
                <w:t>First Amendment to Lease by and between Are-Tech Square, LLC and Warp</w:t>
              </w:r>
            </w:hyperlink>
          </w:p>
        </w:tc>
        <w:tc>
          <w:tcPr>
            <w:tcW w:w="28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22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r:id="rId298">
              <w:r>
                <w:rPr>
                  <w:rFonts w:ascii="Arial" w:cs="Arial" w:eastAsia="Arial" w:hAnsi="Arial"/>
                  <w:sz w:val="18"/>
                  <w:szCs w:val="18"/>
                  <w:color w:val="0000EE"/>
                  <w:w w:val="96"/>
                </w:rPr>
                <w:t>Drive Bio, Inc., dated as of May 18, 2017.</w:t>
              </w:r>
            </w:hyperlink>
          </w:p>
        </w:tc>
        <w:tc>
          <w:tcPr>
            <w:tcW w:w="3000" w:type="dxa"/>
            <w:vAlign w:val="bottom"/>
            <w:gridSpan w:val="12"/>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97"/>
              </w:rPr>
              <w:t>10.4B</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10.5A</w:t>
            </w:r>
          </w:p>
        </w:tc>
        <w:tc>
          <w:tcPr>
            <w:tcW w:w="5880" w:type="dxa"/>
            <w:vAlign w:val="bottom"/>
            <w:tcBorders>
              <w:bottom w:val="single" w:sz="8" w:color="0000EE"/>
            </w:tcBorders>
            <w:gridSpan w:val="17"/>
          </w:tcPr>
          <w:p>
            <w:pPr>
              <w:spacing w:after="0"/>
              <w:rPr>
                <w:rFonts w:ascii="Arial" w:cs="Arial" w:eastAsia="Arial" w:hAnsi="Arial"/>
                <w:sz w:val="18"/>
                <w:szCs w:val="18"/>
                <w:color w:val="0000EE"/>
                <w:w w:val="97"/>
              </w:rPr>
            </w:pPr>
            <w:hyperlink r:id="rId299">
              <w:r>
                <w:rPr>
                  <w:rFonts w:ascii="Arial" w:cs="Arial" w:eastAsia="Arial" w:hAnsi="Arial"/>
                  <w:sz w:val="18"/>
                  <w:szCs w:val="18"/>
                  <w:color w:val="0000EE"/>
                  <w:w w:val="97"/>
                </w:rPr>
                <w:t>Assignment and Assumption of Lease by and between Warp Drive Bio, LLC</w:t>
              </w:r>
            </w:hyperlink>
          </w:p>
        </w:tc>
        <w:tc>
          <w:tcPr>
            <w:tcW w:w="340" w:type="dxa"/>
            <w:vAlign w:val="bottom"/>
            <w:gridSpan w:val="4"/>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220" w:type="dxa"/>
            <w:vAlign w:val="bottom"/>
            <w:gridSpan w:val="21"/>
          </w:tcPr>
          <w:p>
            <w:pPr>
              <w:spacing w:after="0" w:line="182" w:lineRule="exact"/>
              <w:rPr>
                <w:rFonts w:ascii="Arial" w:cs="Arial" w:eastAsia="Arial" w:hAnsi="Arial"/>
                <w:sz w:val="18"/>
                <w:szCs w:val="18"/>
                <w:color w:val="0000EE"/>
              </w:rPr>
            </w:pPr>
            <w:hyperlink r:id="rId299">
              <w:r>
                <w:rPr>
                  <w:rFonts w:ascii="Arial" w:cs="Arial" w:eastAsia="Arial" w:hAnsi="Arial"/>
                  <w:sz w:val="18"/>
                  <w:szCs w:val="18"/>
                  <w:color w:val="0000EE"/>
                </w:rPr>
                <w:t>and Revolution Medicines, Inc., dated as of January 30, 2019.</w:t>
              </w:r>
            </w:hyperlink>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97"/>
              </w:rPr>
              <w:t>10.5A</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10.5B</w:t>
            </w:r>
          </w:p>
        </w:tc>
        <w:tc>
          <w:tcPr>
            <w:tcW w:w="5780" w:type="dxa"/>
            <w:vAlign w:val="bottom"/>
            <w:tcBorders>
              <w:bottom w:val="single" w:sz="8" w:color="0000EE"/>
            </w:tcBorders>
            <w:gridSpan w:val="15"/>
          </w:tcPr>
          <w:p>
            <w:pPr>
              <w:spacing w:after="0"/>
              <w:rPr>
                <w:rFonts w:ascii="Arial" w:cs="Arial" w:eastAsia="Arial" w:hAnsi="Arial"/>
                <w:sz w:val="18"/>
                <w:szCs w:val="18"/>
                <w:color w:val="0000EE"/>
                <w:w w:val="97"/>
              </w:rPr>
            </w:pPr>
            <w:hyperlink r:id="rId300">
              <w:r>
                <w:rPr>
                  <w:rFonts w:ascii="Arial" w:cs="Arial" w:eastAsia="Arial" w:hAnsi="Arial"/>
                  <w:sz w:val="18"/>
                  <w:szCs w:val="18"/>
                  <w:color w:val="0000EE"/>
                  <w:w w:val="97"/>
                </w:rPr>
                <w:t>Sublease Agreement between Revolution Medicines, Inc., as successor to</w:t>
              </w:r>
            </w:hyperlink>
          </w:p>
        </w:tc>
        <w:tc>
          <w:tcPr>
            <w:tcW w:w="44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6220" w:type="dxa"/>
            <w:vAlign w:val="bottom"/>
            <w:gridSpan w:val="21"/>
          </w:tcPr>
          <w:p>
            <w:pPr>
              <w:spacing w:after="0" w:line="182" w:lineRule="exact"/>
              <w:rPr>
                <w:rFonts w:ascii="Arial" w:cs="Arial" w:eastAsia="Arial" w:hAnsi="Arial"/>
                <w:sz w:val="18"/>
                <w:szCs w:val="18"/>
                <w:color w:val="0000EE"/>
              </w:rPr>
            </w:pPr>
            <w:hyperlink r:id="rId300">
              <w:r>
                <w:rPr>
                  <w:rFonts w:ascii="Arial" w:cs="Arial" w:eastAsia="Arial" w:hAnsi="Arial"/>
                  <w:sz w:val="18"/>
                  <w:szCs w:val="18"/>
                  <w:color w:val="0000EE"/>
                </w:rPr>
                <w:t>Warp Drive Bio, LLC, and Casma Therapeutics, Inc., dated as of February 4,</w:t>
              </w:r>
            </w:hyperlink>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3"/>
              </w:rPr>
            </w:pPr>
            <w:hyperlink r:id="rId300">
              <w:r>
                <w:rPr>
                  <w:rFonts w:ascii="Arial" w:cs="Arial" w:eastAsia="Arial" w:hAnsi="Arial"/>
                  <w:sz w:val="18"/>
                  <w:szCs w:val="18"/>
                  <w:color w:val="0000EE"/>
                  <w:w w:val="93"/>
                </w:rPr>
                <w:t>2019.</w:t>
              </w:r>
            </w:hyperlink>
          </w:p>
        </w:tc>
        <w:tc>
          <w:tcPr>
            <w:tcW w:w="5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97"/>
              </w:rPr>
              <w:t>10.5B</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860" w:type="dxa"/>
            <w:vAlign w:val="bottom"/>
          </w:tcPr>
          <w:p>
            <w:pPr>
              <w:spacing w:after="0"/>
              <w:rPr>
                <w:sz w:val="20"/>
                <w:szCs w:val="20"/>
                <w:color w:val="auto"/>
              </w:rPr>
            </w:pPr>
            <w:r>
              <w:rPr>
                <w:rFonts w:ascii="Arial" w:cs="Arial" w:eastAsia="Arial" w:hAnsi="Arial"/>
                <w:sz w:val="18"/>
                <w:szCs w:val="18"/>
                <w:color w:val="auto"/>
              </w:rPr>
              <w:t>10.6(a)#</w:t>
            </w:r>
          </w:p>
        </w:tc>
        <w:tc>
          <w:tcPr>
            <w:tcW w:w="6220" w:type="dxa"/>
            <w:vAlign w:val="bottom"/>
            <w:gridSpan w:val="21"/>
          </w:tcPr>
          <w:p>
            <w:pPr>
              <w:spacing w:after="0"/>
              <w:rPr>
                <w:rFonts w:ascii="Arial" w:cs="Arial" w:eastAsia="Arial" w:hAnsi="Arial"/>
                <w:sz w:val="18"/>
                <w:szCs w:val="18"/>
                <w:u w:val="single" w:color="auto"/>
                <w:color w:val="0000EE"/>
              </w:rPr>
            </w:pPr>
            <w:hyperlink r:id="rId301">
              <w:r>
                <w:rPr>
                  <w:rFonts w:ascii="Arial" w:cs="Arial" w:eastAsia="Arial" w:hAnsi="Arial"/>
                  <w:sz w:val="18"/>
                  <w:szCs w:val="18"/>
                  <w:u w:val="single" w:color="auto"/>
                  <w:color w:val="0000EE"/>
                </w:rPr>
                <w:t>2014 Equity Incentive Plan, as amended.</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10.6(a)</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60" w:type="dxa"/>
            <w:vAlign w:val="bottom"/>
          </w:tcPr>
          <w:p>
            <w:pPr>
              <w:spacing w:after="0"/>
              <w:rPr>
                <w:sz w:val="20"/>
                <w:szCs w:val="20"/>
                <w:color w:val="auto"/>
              </w:rPr>
            </w:pPr>
            <w:r>
              <w:rPr>
                <w:rFonts w:ascii="Arial" w:cs="Arial" w:eastAsia="Arial" w:hAnsi="Arial"/>
                <w:sz w:val="18"/>
                <w:szCs w:val="18"/>
                <w:color w:val="auto"/>
              </w:rPr>
              <w:t>10.6(b)#</w:t>
            </w:r>
          </w:p>
        </w:tc>
        <w:tc>
          <w:tcPr>
            <w:tcW w:w="5760" w:type="dxa"/>
            <w:vAlign w:val="bottom"/>
            <w:tcBorders>
              <w:bottom w:val="single" w:sz="8" w:color="0000EE"/>
            </w:tcBorders>
            <w:gridSpan w:val="14"/>
          </w:tcPr>
          <w:p>
            <w:pPr>
              <w:spacing w:after="0"/>
              <w:rPr>
                <w:rFonts w:ascii="Arial" w:cs="Arial" w:eastAsia="Arial" w:hAnsi="Arial"/>
                <w:sz w:val="18"/>
                <w:szCs w:val="18"/>
                <w:color w:val="0000EE"/>
                <w:w w:val="97"/>
              </w:rPr>
            </w:pPr>
            <w:hyperlink r:id="rId302">
              <w:r>
                <w:rPr>
                  <w:rFonts w:ascii="Arial" w:cs="Arial" w:eastAsia="Arial" w:hAnsi="Arial"/>
                  <w:sz w:val="18"/>
                  <w:szCs w:val="18"/>
                  <w:color w:val="0000EE"/>
                  <w:w w:val="97"/>
                </w:rPr>
                <w:t>Form of Amended and Restated Early Exercise Stock Option Grant Notice</w:t>
              </w:r>
            </w:hyperlink>
          </w:p>
        </w:tc>
        <w:tc>
          <w:tcPr>
            <w:tcW w:w="460" w:type="dxa"/>
            <w:vAlign w:val="bottom"/>
            <w:gridSpan w:val="7"/>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2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r:id="rId302">
              <w:r>
                <w:rPr>
                  <w:rFonts w:ascii="Arial" w:cs="Arial" w:eastAsia="Arial" w:hAnsi="Arial"/>
                  <w:sz w:val="18"/>
                  <w:szCs w:val="18"/>
                  <w:color w:val="0000EE"/>
                  <w:w w:val="97"/>
                </w:rPr>
                <w:t>and Amended and Restated Stock Option Agreement under 2014 Equity</w:t>
              </w:r>
            </w:hyperlink>
          </w:p>
        </w:tc>
        <w:tc>
          <w:tcPr>
            <w:tcW w:w="60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24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r:id="rId302">
              <w:r>
                <w:rPr>
                  <w:rFonts w:ascii="Arial" w:cs="Arial" w:eastAsia="Arial" w:hAnsi="Arial"/>
                  <w:sz w:val="18"/>
                  <w:szCs w:val="18"/>
                  <w:color w:val="0000EE"/>
                  <w:w w:val="96"/>
                </w:rPr>
                <w:t>Incentive Plan, as amended.</w:t>
              </w:r>
            </w:hyperlink>
          </w:p>
        </w:tc>
        <w:tc>
          <w:tcPr>
            <w:tcW w:w="3980" w:type="dxa"/>
            <w:vAlign w:val="bottom"/>
            <w:gridSpan w:val="15"/>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100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8"/>
              </w:rPr>
              <w:t>10.6(b)</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8"/>
        </w:trPr>
        <w:tc>
          <w:tcPr>
            <w:tcW w:w="860" w:type="dxa"/>
            <w:vAlign w:val="bottom"/>
          </w:tcPr>
          <w:p>
            <w:pPr>
              <w:spacing w:after="0"/>
              <w:rPr>
                <w:sz w:val="20"/>
                <w:szCs w:val="20"/>
                <w:color w:val="auto"/>
              </w:rPr>
            </w:pPr>
            <w:r>
              <w:rPr>
                <w:rFonts w:ascii="Arial" w:cs="Arial" w:eastAsia="Arial" w:hAnsi="Arial"/>
                <w:sz w:val="18"/>
                <w:szCs w:val="18"/>
                <w:color w:val="auto"/>
              </w:rPr>
              <w:t>10.7(a)#</w:t>
            </w:r>
          </w:p>
        </w:tc>
        <w:tc>
          <w:tcPr>
            <w:tcW w:w="6220" w:type="dxa"/>
            <w:vAlign w:val="bottom"/>
            <w:gridSpan w:val="21"/>
          </w:tcPr>
          <w:p>
            <w:pPr>
              <w:spacing w:after="0"/>
              <w:rPr>
                <w:rFonts w:ascii="Arial" w:cs="Arial" w:eastAsia="Arial" w:hAnsi="Arial"/>
                <w:sz w:val="18"/>
                <w:szCs w:val="18"/>
                <w:u w:val="single" w:color="auto"/>
                <w:color w:val="0000EE"/>
              </w:rPr>
            </w:pPr>
            <w:hyperlink r:id="rId303">
              <w:r>
                <w:rPr>
                  <w:rFonts w:ascii="Arial" w:cs="Arial" w:eastAsia="Arial" w:hAnsi="Arial"/>
                  <w:sz w:val="18"/>
                  <w:szCs w:val="18"/>
                  <w:u w:val="single" w:color="auto"/>
                  <w:color w:val="0000EE"/>
                </w:rPr>
                <w:t>2020 Incentive Award Plan.</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2/3/2020</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10.7(a)</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60" w:type="dxa"/>
            <w:vAlign w:val="bottom"/>
          </w:tcPr>
          <w:p>
            <w:pPr>
              <w:spacing w:after="0"/>
              <w:rPr>
                <w:sz w:val="20"/>
                <w:szCs w:val="20"/>
                <w:color w:val="auto"/>
              </w:rPr>
            </w:pPr>
            <w:r>
              <w:rPr>
                <w:rFonts w:ascii="Arial" w:cs="Arial" w:eastAsia="Arial" w:hAnsi="Arial"/>
                <w:sz w:val="18"/>
                <w:szCs w:val="18"/>
                <w:color w:val="auto"/>
              </w:rPr>
              <w:t>10.7(b)#</w:t>
            </w:r>
          </w:p>
        </w:tc>
        <w:tc>
          <w:tcPr>
            <w:tcW w:w="6220" w:type="dxa"/>
            <w:vAlign w:val="bottom"/>
            <w:gridSpan w:val="21"/>
          </w:tcPr>
          <w:p>
            <w:pPr>
              <w:spacing w:after="0"/>
              <w:rPr>
                <w:rFonts w:ascii="Arial" w:cs="Arial" w:eastAsia="Arial" w:hAnsi="Arial"/>
                <w:sz w:val="18"/>
                <w:szCs w:val="18"/>
                <w:color w:val="0000EE"/>
              </w:rPr>
            </w:pPr>
            <w:hyperlink r:id="rId304">
              <w:r>
                <w:rPr>
                  <w:rFonts w:ascii="Arial" w:cs="Arial" w:eastAsia="Arial" w:hAnsi="Arial"/>
                  <w:sz w:val="18"/>
                  <w:szCs w:val="18"/>
                  <w:color w:val="0000EE"/>
                </w:rPr>
                <w:t>Form of Stock Option Grant Notice and Stock Option Agreement under the</w:t>
              </w:r>
            </w:hyperlink>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r:id="rId304">
              <w:r>
                <w:rPr>
                  <w:rFonts w:ascii="Arial" w:cs="Arial" w:eastAsia="Arial" w:hAnsi="Arial"/>
                  <w:sz w:val="18"/>
                  <w:szCs w:val="18"/>
                  <w:color w:val="0000EE"/>
                  <w:w w:val="96"/>
                </w:rPr>
                <w:t>2020 Incentive Award Plan.</w:t>
              </w:r>
            </w:hyperlink>
          </w:p>
        </w:tc>
        <w:tc>
          <w:tcPr>
            <w:tcW w:w="3640" w:type="dxa"/>
            <w:vAlign w:val="bottom"/>
            <w:tcBorders>
              <w:top w:val="single" w:sz="8" w:color="0000EE"/>
            </w:tcBorders>
            <w:gridSpan w:val="10"/>
          </w:tcPr>
          <w:p>
            <w:pPr>
              <w:spacing w:after="0"/>
              <w:rPr>
                <w:sz w:val="15"/>
                <w:szCs w:val="15"/>
                <w:color w:val="auto"/>
              </w:rPr>
            </w:pPr>
          </w:p>
        </w:tc>
        <w:tc>
          <w:tcPr>
            <w:tcW w:w="440" w:type="dxa"/>
            <w:vAlign w:val="bottom"/>
            <w:gridSpan w:val="6"/>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6"/>
              </w:rPr>
              <w:t>2/3/2020</w:t>
            </w:r>
          </w:p>
        </w:tc>
        <w:tc>
          <w:tcPr>
            <w:tcW w:w="100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8"/>
              </w:rPr>
              <w:t>10.7(b)</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10.7(c)#</w:t>
            </w:r>
          </w:p>
        </w:tc>
        <w:tc>
          <w:tcPr>
            <w:tcW w:w="6220" w:type="dxa"/>
            <w:vAlign w:val="bottom"/>
            <w:gridSpan w:val="21"/>
          </w:tcPr>
          <w:p>
            <w:pPr>
              <w:spacing w:after="0"/>
              <w:rPr>
                <w:rFonts w:ascii="Arial" w:cs="Arial" w:eastAsia="Arial" w:hAnsi="Arial"/>
                <w:sz w:val="18"/>
                <w:szCs w:val="18"/>
                <w:color w:val="0000EE"/>
              </w:rPr>
            </w:pPr>
            <w:hyperlink r:id="rId305">
              <w:r>
                <w:rPr>
                  <w:rFonts w:ascii="Arial" w:cs="Arial" w:eastAsia="Arial" w:hAnsi="Arial"/>
                  <w:sz w:val="18"/>
                  <w:szCs w:val="18"/>
                  <w:color w:val="0000EE"/>
                </w:rPr>
                <w:t>Form of Restricted Stock Award Agreement under the 2020 Incentive Award</w:t>
              </w:r>
            </w:hyperlink>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r:id="rId305">
              <w:r>
                <w:rPr>
                  <w:rFonts w:ascii="Arial" w:cs="Arial" w:eastAsia="Arial" w:hAnsi="Arial"/>
                  <w:sz w:val="18"/>
                  <w:szCs w:val="18"/>
                  <w:color w:val="0000EE"/>
                  <w:w w:val="92"/>
                </w:rPr>
                <w:t>Plan.</w:t>
              </w:r>
            </w:hyperlink>
          </w:p>
        </w:tc>
        <w:tc>
          <w:tcPr>
            <w:tcW w:w="5500" w:type="dxa"/>
            <w:vAlign w:val="bottom"/>
            <w:tcBorders>
              <w:top w:val="single" w:sz="8" w:color="0000EE"/>
            </w:tcBorders>
            <w:gridSpan w:val="17"/>
          </w:tcPr>
          <w:p>
            <w:pPr>
              <w:spacing w:after="0"/>
              <w:rPr>
                <w:sz w:val="15"/>
                <w:szCs w:val="15"/>
                <w:color w:val="auto"/>
              </w:rPr>
            </w:pPr>
          </w:p>
        </w:tc>
        <w:tc>
          <w:tcPr>
            <w:tcW w:w="320" w:type="dxa"/>
            <w:vAlign w:val="bottom"/>
            <w:gridSpan w:val="3"/>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6"/>
              </w:rPr>
              <w:t>2/3/2020</w:t>
            </w:r>
          </w:p>
        </w:tc>
        <w:tc>
          <w:tcPr>
            <w:tcW w:w="1000" w:type="dxa"/>
            <w:vAlign w:val="bottom"/>
            <w:gridSpan w:val="2"/>
          </w:tcPr>
          <w:p>
            <w:pPr>
              <w:jc w:val="center"/>
              <w:ind w:right="140"/>
              <w:spacing w:after="0" w:line="182" w:lineRule="exact"/>
              <w:rPr>
                <w:sz w:val="20"/>
                <w:szCs w:val="20"/>
                <w:color w:val="auto"/>
              </w:rPr>
            </w:pPr>
            <w:r>
              <w:rPr>
                <w:rFonts w:ascii="Arial" w:cs="Arial" w:eastAsia="Arial" w:hAnsi="Arial"/>
                <w:sz w:val="18"/>
                <w:szCs w:val="18"/>
                <w:color w:val="auto"/>
                <w:w w:val="96"/>
              </w:rPr>
              <w:t>10.7(c)</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10.7(d)#</w:t>
            </w:r>
          </w:p>
        </w:tc>
        <w:tc>
          <w:tcPr>
            <w:tcW w:w="6220" w:type="dxa"/>
            <w:vAlign w:val="bottom"/>
            <w:gridSpan w:val="21"/>
          </w:tcPr>
          <w:p>
            <w:pPr>
              <w:spacing w:after="0"/>
              <w:rPr>
                <w:rFonts w:ascii="Arial" w:cs="Arial" w:eastAsia="Arial" w:hAnsi="Arial"/>
                <w:sz w:val="18"/>
                <w:szCs w:val="18"/>
                <w:color w:val="0000EE"/>
              </w:rPr>
            </w:pPr>
            <w:hyperlink r:id="rId306">
              <w:r>
                <w:rPr>
                  <w:rFonts w:ascii="Arial" w:cs="Arial" w:eastAsia="Arial" w:hAnsi="Arial"/>
                  <w:sz w:val="18"/>
                  <w:szCs w:val="18"/>
                  <w:color w:val="0000EE"/>
                </w:rPr>
                <w:t>Form of Restricted Stock Unit Award Grant Notice under the 2020 Incentive</w:t>
              </w:r>
            </w:hyperlink>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84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r:id="rId306">
              <w:r>
                <w:rPr>
                  <w:rFonts w:ascii="Arial" w:cs="Arial" w:eastAsia="Arial" w:hAnsi="Arial"/>
                  <w:sz w:val="18"/>
                  <w:szCs w:val="18"/>
                  <w:color w:val="0000EE"/>
                </w:rPr>
                <w:t>Award Plan.</w:t>
              </w:r>
            </w:hyperlink>
          </w:p>
        </w:tc>
        <w:tc>
          <w:tcPr>
            <w:tcW w:w="380" w:type="dxa"/>
            <w:vAlign w:val="bottom"/>
            <w:gridSpan w:val="5"/>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6"/>
              </w:rPr>
              <w:t>2/3/2020</w:t>
            </w:r>
          </w:p>
        </w:tc>
        <w:tc>
          <w:tcPr>
            <w:tcW w:w="100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w w:val="98"/>
              </w:rPr>
              <w:t>10.7(d)</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6220" w:type="dxa"/>
            <w:vAlign w:val="bottom"/>
            <w:gridSpan w:val="21"/>
          </w:tcPr>
          <w:p>
            <w:pPr>
              <w:spacing w:after="0"/>
              <w:rPr>
                <w:rFonts w:ascii="Arial" w:cs="Arial" w:eastAsia="Arial" w:hAnsi="Arial"/>
                <w:sz w:val="18"/>
                <w:szCs w:val="18"/>
                <w:u w:val="single" w:color="auto"/>
                <w:color w:val="0000EE"/>
              </w:rPr>
            </w:pPr>
            <w:hyperlink r:id="rId307">
              <w:r>
                <w:rPr>
                  <w:rFonts w:ascii="Arial" w:cs="Arial" w:eastAsia="Arial" w:hAnsi="Arial"/>
                  <w:sz w:val="18"/>
                  <w:szCs w:val="18"/>
                  <w:u w:val="single" w:color="auto"/>
                  <w:color w:val="0000EE"/>
                </w:rPr>
                <w:t>2020 Employee Stock Purchase Plan.</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2/3/2020</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6220" w:type="dxa"/>
            <w:vAlign w:val="bottom"/>
            <w:gridSpan w:val="21"/>
          </w:tcPr>
          <w:p>
            <w:pPr>
              <w:spacing w:after="0"/>
              <w:rPr>
                <w:rFonts w:ascii="Arial" w:cs="Arial" w:eastAsia="Arial" w:hAnsi="Arial"/>
                <w:sz w:val="18"/>
                <w:szCs w:val="18"/>
                <w:color w:val="0000EE"/>
              </w:rPr>
            </w:pPr>
            <w:hyperlink r:id="rId308">
              <w:r>
                <w:rPr>
                  <w:rFonts w:ascii="Arial" w:cs="Arial" w:eastAsia="Arial" w:hAnsi="Arial"/>
                  <w:sz w:val="18"/>
                  <w:szCs w:val="18"/>
                  <w:color w:val="0000EE"/>
                </w:rPr>
                <w:t>Employment Agreement by and between Revolution Medicines, Inc. and</w:t>
              </w:r>
            </w:hyperlink>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308">
              <w:r>
                <w:rPr>
                  <w:rFonts w:ascii="Arial" w:cs="Arial" w:eastAsia="Arial" w:hAnsi="Arial"/>
                  <w:sz w:val="18"/>
                  <w:szCs w:val="18"/>
                  <w:color w:val="0000EE"/>
                </w:rPr>
                <w:t>Mark A. Goldsmith, M.D., Ph.D.</w:t>
              </w:r>
            </w:hyperlink>
          </w:p>
        </w:tc>
        <w:tc>
          <w:tcPr>
            <w:tcW w:w="620" w:type="dxa"/>
            <w:vAlign w:val="bottom"/>
            <w:gridSpan w:val="9"/>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6"/>
              </w:rPr>
              <w:t>10.9</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2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6220" w:type="dxa"/>
            <w:vAlign w:val="bottom"/>
            <w:gridSpan w:val="21"/>
          </w:tcPr>
          <w:p>
            <w:pPr>
              <w:spacing w:after="0"/>
              <w:rPr>
                <w:rFonts w:ascii="Arial" w:cs="Arial" w:eastAsia="Arial" w:hAnsi="Arial"/>
                <w:sz w:val="18"/>
                <w:szCs w:val="18"/>
                <w:color w:val="0000EE"/>
              </w:rPr>
            </w:pPr>
            <w:hyperlink r:id="rId309">
              <w:r>
                <w:rPr>
                  <w:rFonts w:ascii="Arial" w:cs="Arial" w:eastAsia="Arial" w:hAnsi="Arial"/>
                  <w:sz w:val="18"/>
                  <w:szCs w:val="18"/>
                  <w:color w:val="0000EE"/>
                </w:rPr>
                <w:t>Employment Agreement by and between Revolution Medicines, Inc. and</w:t>
              </w:r>
            </w:hyperlink>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5"/>
              </w:rPr>
            </w:pPr>
            <w:hyperlink r:id="rId309">
              <w:r>
                <w:rPr>
                  <w:rFonts w:ascii="Arial" w:cs="Arial" w:eastAsia="Arial" w:hAnsi="Arial"/>
                  <w:sz w:val="18"/>
                  <w:szCs w:val="18"/>
                  <w:color w:val="0000EE"/>
                  <w:w w:val="95"/>
                </w:rPr>
                <w:t>Steve Kelsey, M.D., FRCP, FRCPath.</w:t>
              </w:r>
            </w:hyperlink>
          </w:p>
        </w:tc>
        <w:tc>
          <w:tcPr>
            <w:tcW w:w="2700" w:type="dxa"/>
            <w:vAlign w:val="bottom"/>
            <w:tcBorders>
              <w:top w:val="single" w:sz="8" w:color="0000EE"/>
            </w:tcBorders>
            <w:gridSpan w:val="4"/>
          </w:tcPr>
          <w:p>
            <w:pPr>
              <w:spacing w:after="0"/>
              <w:rPr>
                <w:sz w:val="15"/>
                <w:szCs w:val="15"/>
                <w:color w:val="auto"/>
              </w:rPr>
            </w:pPr>
          </w:p>
        </w:tc>
        <w:tc>
          <w:tcPr>
            <w:tcW w:w="620" w:type="dxa"/>
            <w:vAlign w:val="bottom"/>
            <w:gridSpan w:val="9"/>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7"/>
              </w:rPr>
              <w:t>10.10</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6220" w:type="dxa"/>
            <w:vAlign w:val="bottom"/>
            <w:gridSpan w:val="21"/>
          </w:tcPr>
          <w:p>
            <w:pPr>
              <w:spacing w:after="0"/>
              <w:rPr>
                <w:rFonts w:ascii="Arial" w:cs="Arial" w:eastAsia="Arial" w:hAnsi="Arial"/>
                <w:sz w:val="18"/>
                <w:szCs w:val="18"/>
                <w:color w:val="0000EE"/>
              </w:rPr>
            </w:pPr>
            <w:hyperlink r:id="rId310">
              <w:r>
                <w:rPr>
                  <w:rFonts w:ascii="Arial" w:cs="Arial" w:eastAsia="Arial" w:hAnsi="Arial"/>
                  <w:sz w:val="18"/>
                  <w:szCs w:val="18"/>
                  <w:color w:val="0000EE"/>
                </w:rPr>
                <w:t>Employment Agreement by and between Revolution Medicines, Inc. and</w:t>
              </w:r>
            </w:hyperlink>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560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310">
              <w:r>
                <w:rPr>
                  <w:rFonts w:ascii="Arial" w:cs="Arial" w:eastAsia="Arial" w:hAnsi="Arial"/>
                  <w:sz w:val="18"/>
                  <w:szCs w:val="18"/>
                  <w:color w:val="0000EE"/>
                </w:rPr>
                <w:t>Margaret Horn, J.D.</w:t>
              </w:r>
            </w:hyperlink>
          </w:p>
        </w:tc>
        <w:tc>
          <w:tcPr>
            <w:tcW w:w="620" w:type="dxa"/>
            <w:vAlign w:val="bottom"/>
            <w:gridSpan w:val="9"/>
          </w:tcPr>
          <w:p>
            <w:pPr>
              <w:spacing w:after="0"/>
              <w:rPr>
                <w:sz w:val="15"/>
                <w:szCs w:val="15"/>
                <w:color w:val="auto"/>
              </w:rPr>
            </w:pPr>
          </w:p>
        </w:tc>
        <w:tc>
          <w:tcPr>
            <w:tcW w:w="58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line="182" w:lineRule="exact"/>
              <w:rPr>
                <w:sz w:val="20"/>
                <w:szCs w:val="20"/>
                <w:color w:val="auto"/>
              </w:rPr>
            </w:pPr>
            <w:r>
              <w:rPr>
                <w:rFonts w:ascii="Arial" w:cs="Arial" w:eastAsia="Arial" w:hAnsi="Arial"/>
                <w:sz w:val="18"/>
                <w:szCs w:val="18"/>
                <w:color w:val="auto"/>
                <w:w w:val="97"/>
              </w:rPr>
              <w:t>1/17/2020</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7"/>
              </w:rPr>
              <w:t>10.11</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4680" w:type="dxa"/>
            <w:vAlign w:val="bottom"/>
            <w:gridSpan w:val="1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6220" w:type="dxa"/>
            <w:vAlign w:val="bottom"/>
            <w:gridSpan w:val="21"/>
          </w:tcPr>
          <w:p>
            <w:pPr>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Non-Employee Director Compensation Program.</w:t>
              </w:r>
            </w:hyperlink>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6220" w:type="dxa"/>
            <w:vAlign w:val="bottom"/>
            <w:gridSpan w:val="21"/>
          </w:tcPr>
          <w:p>
            <w:pPr>
              <w:spacing w:after="0"/>
              <w:rPr>
                <w:rFonts w:ascii="Arial" w:cs="Arial" w:eastAsia="Arial" w:hAnsi="Arial"/>
                <w:sz w:val="18"/>
                <w:szCs w:val="18"/>
                <w:color w:val="0000EE"/>
              </w:rPr>
            </w:pPr>
            <w:hyperlink r:id="rId311">
              <w:r>
                <w:rPr>
                  <w:rFonts w:ascii="Arial" w:cs="Arial" w:eastAsia="Arial" w:hAnsi="Arial"/>
                  <w:sz w:val="18"/>
                  <w:szCs w:val="18"/>
                  <w:u w:val="single" w:color="auto"/>
                  <w:color w:val="0000EE"/>
                </w:rPr>
                <w:t>Form of Indemnification Agreement for directors and officers</w:t>
              </w:r>
              <w:r>
                <w:rPr>
                  <w:rFonts w:ascii="Arial" w:cs="Arial" w:eastAsia="Arial" w:hAnsi="Arial"/>
                  <w:sz w:val="18"/>
                  <w:szCs w:val="18"/>
                  <w:color w:val="0000EE"/>
                </w:rPr>
                <w:t>.</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2/3/2020</w:t>
            </w:r>
          </w:p>
        </w:tc>
        <w:tc>
          <w:tcPr>
            <w:tcW w:w="820" w:type="dxa"/>
            <w:vAlign w:val="bottom"/>
          </w:tcPr>
          <w:p>
            <w:pPr>
              <w:jc w:val="center"/>
              <w:spacing w:after="0"/>
              <w:rPr>
                <w:sz w:val="20"/>
                <w:szCs w:val="20"/>
                <w:color w:val="auto"/>
              </w:rPr>
            </w:pPr>
            <w:r>
              <w:rPr>
                <w:rFonts w:ascii="Arial" w:cs="Arial" w:eastAsia="Arial" w:hAnsi="Arial"/>
                <w:sz w:val="18"/>
                <w:szCs w:val="18"/>
                <w:color w:val="auto"/>
                <w:w w:val="97"/>
              </w:rPr>
              <w:t>10.13</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6220" w:type="dxa"/>
            <w:vAlign w:val="bottom"/>
            <w:gridSpan w:val="21"/>
          </w:tcPr>
          <w:p>
            <w:pPr>
              <w:spacing w:after="0"/>
              <w:rPr>
                <w:rFonts w:ascii="Arial" w:cs="Arial" w:eastAsia="Arial" w:hAnsi="Arial"/>
                <w:sz w:val="18"/>
                <w:szCs w:val="18"/>
                <w:u w:val="single" w:color="auto"/>
                <w:color w:val="0000EE"/>
              </w:rPr>
            </w:pPr>
            <w:hyperlink r:id="rId312">
              <w:r>
                <w:rPr>
                  <w:rFonts w:ascii="Arial" w:cs="Arial" w:eastAsia="Arial" w:hAnsi="Arial"/>
                  <w:sz w:val="18"/>
                  <w:szCs w:val="18"/>
                  <w:u w:val="single" w:color="auto"/>
                  <w:color w:val="0000EE"/>
                </w:rPr>
                <w:t>Subsidiaries of Registrant.</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1/17/2020</w:t>
            </w:r>
          </w:p>
        </w:tc>
        <w:tc>
          <w:tcPr>
            <w:tcW w:w="820" w:type="dxa"/>
            <w:vAlign w:val="bottom"/>
          </w:tcPr>
          <w:p>
            <w:pPr>
              <w:jc w:val="center"/>
              <w:spacing w:after="0"/>
              <w:rPr>
                <w:sz w:val="20"/>
                <w:szCs w:val="20"/>
                <w:color w:val="auto"/>
              </w:rPr>
            </w:pPr>
            <w:r>
              <w:rPr>
                <w:rFonts w:ascii="Arial" w:cs="Arial" w:eastAsia="Arial" w:hAnsi="Arial"/>
                <w:sz w:val="18"/>
                <w:szCs w:val="18"/>
                <w:color w:val="auto"/>
                <w:w w:val="96"/>
              </w:rPr>
              <w:t>21.1</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6220" w:type="dxa"/>
            <w:vAlign w:val="bottom"/>
            <w:gridSpan w:val="21"/>
          </w:tcPr>
          <w:p>
            <w:pPr>
              <w:spacing w:after="0"/>
              <w:rPr>
                <w:rFonts w:ascii="Arial" w:cs="Arial" w:eastAsia="Arial" w:hAnsi="Arial"/>
                <w:sz w:val="18"/>
                <w:szCs w:val="18"/>
                <w:color w:val="0000EE"/>
              </w:rPr>
            </w:pPr>
            <w:hyperlink w:anchor="page237">
              <w:r>
                <w:rPr>
                  <w:rFonts w:ascii="Arial" w:cs="Arial" w:eastAsia="Arial" w:hAnsi="Arial"/>
                  <w:sz w:val="18"/>
                  <w:szCs w:val="18"/>
                  <w:u w:val="single" w:color="auto"/>
                  <w:color w:val="0000EE"/>
                </w:rPr>
                <w:t>Consent of Independent Registered Public Accounting Firm</w:t>
              </w:r>
              <w:r>
                <w:rPr>
                  <w:rFonts w:ascii="Arial" w:cs="Arial" w:eastAsia="Arial" w:hAnsi="Arial"/>
                  <w:sz w:val="18"/>
                  <w:szCs w:val="18"/>
                  <w:color w:val="0000EE"/>
                </w:rPr>
                <w:t>.</w:t>
              </w:r>
            </w:hyperlink>
          </w:p>
        </w:tc>
        <w:tc>
          <w:tcPr>
            <w:tcW w:w="5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23.2</w:t>
            </w:r>
          </w:p>
        </w:tc>
        <w:tc>
          <w:tcPr>
            <w:tcW w:w="6220" w:type="dxa"/>
            <w:vAlign w:val="bottom"/>
            <w:gridSpan w:val="21"/>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Consent of Latham &amp; Watkins LLP (included in Exhibit 5.1).</w:t>
              </w:r>
            </w:hyperlink>
          </w:p>
        </w:tc>
        <w:tc>
          <w:tcPr>
            <w:tcW w:w="5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1"/>
        </w:trPr>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24.1</w:t>
            </w:r>
          </w:p>
        </w:tc>
        <w:tc>
          <w:tcPr>
            <w:tcW w:w="6220" w:type="dxa"/>
            <w:vAlign w:val="bottom"/>
            <w:tcBorders>
              <w:bottom w:val="single" w:sz="8" w:color="auto"/>
            </w:tcBorders>
            <w:gridSpan w:val="21"/>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Power of Attorney.</w:t>
              </w:r>
            </w:hyperlink>
          </w:p>
        </w:tc>
        <w:tc>
          <w:tcPr>
            <w:tcW w:w="5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hanging="324"/>
        <w:spacing w:after="0"/>
        <w:tabs>
          <w:tab w:leader="none" w:pos="440" w:val="left"/>
        </w:tabs>
        <w:numPr>
          <w:ilvl w:val="0"/>
          <w:numId w:val="97"/>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would likely cause competitive harm if publicly disclosed.</w:t>
      </w:r>
    </w:p>
    <w:p>
      <w:pPr>
        <w:spacing w:after="0" w:line="66" w:lineRule="exact"/>
        <w:rPr>
          <w:rFonts w:ascii="Arial" w:cs="Arial" w:eastAsia="Arial" w:hAnsi="Arial"/>
          <w:sz w:val="13"/>
          <w:szCs w:val="13"/>
          <w:color w:val="auto"/>
        </w:rPr>
      </w:pPr>
    </w:p>
    <w:p>
      <w:pPr>
        <w:ind w:left="120"/>
        <w:spacing w:after="0"/>
        <w:rPr>
          <w:rFonts w:ascii="Arial" w:cs="Arial" w:eastAsia="Arial" w:hAnsi="Arial"/>
          <w:sz w:val="13"/>
          <w:szCs w:val="13"/>
          <w:color w:val="auto"/>
        </w:rPr>
      </w:pPr>
      <w:r>
        <w:rPr>
          <w:rFonts w:ascii="Arial" w:cs="Arial" w:eastAsia="Arial" w:hAnsi="Arial"/>
          <w:sz w:val="13"/>
          <w:szCs w:val="13"/>
          <w:color w:val="auto"/>
        </w:rPr>
        <w:t>#    Indicates management contract or compensatory plan.</w:t>
      </w:r>
    </w:p>
    <w:p>
      <w:pPr>
        <w:spacing w:after="0" w:line="156" w:lineRule="exact"/>
        <w:rPr>
          <w:sz w:val="20"/>
          <w:szCs w:val="20"/>
          <w:color w:val="auto"/>
        </w:rPr>
      </w:pPr>
    </w:p>
    <w:p>
      <w:pPr>
        <w:ind w:left="120" w:right="140" w:hanging="4"/>
        <w:spacing w:after="0" w:line="264" w:lineRule="auto"/>
        <w:tabs>
          <w:tab w:leader="none" w:pos="393"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applicable or is shown in the financial statements or notes thereto.</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4"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540" w:hanging="424"/>
        <w:spacing w:after="0" w:line="264"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540" w:right="420"/>
        <w:spacing w:after="0" w:line="239"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540" w:right="120" w:hanging="424"/>
        <w:spacing w:after="0" w:line="238"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0" w:lineRule="exact"/>
        <w:rPr>
          <w:sz w:val="20"/>
          <w:szCs w:val="20"/>
          <w:color w:val="auto"/>
        </w:rPr>
      </w:pPr>
    </w:p>
    <w:p>
      <w:pPr>
        <w:ind w:left="120" w:right="8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Signatures</w:t>
      </w:r>
    </w:p>
    <w:p>
      <w:pPr>
        <w:spacing w:after="0" w:line="157" w:lineRule="exact"/>
        <w:rPr>
          <w:sz w:val="20"/>
          <w:szCs w:val="20"/>
          <w:color w:val="auto"/>
        </w:rPr>
      </w:pPr>
    </w:p>
    <w:p>
      <w:pPr>
        <w:ind w:left="120" w:right="800"/>
        <w:spacing w:after="0" w:line="299"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Redwood City, California on July 6, 2020.</w:t>
      </w:r>
    </w:p>
    <w:p>
      <w:pPr>
        <w:spacing w:after="0" w:line="4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Revolution Medicines,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-4445</wp:posOffset>
            </wp:positionV>
            <wp:extent cx="25628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Mark A. Goldsmith, M.D., Ph.D.</w:t>
      </w: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Power of attorney</w:t>
      </w:r>
    </w:p>
    <w:p>
      <w:pPr>
        <w:spacing w:after="0" w:line="157"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Mark A. Goldsmith, M.D., Ph.D., Margaret A. Horn, J.D., and Jack Anders, and each of them acting individually, as his or her true and lawful attorneys-in-fact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 or substitutes, may lawfully do or cause to be done by virtue hereof.</w:t>
      </w:r>
    </w:p>
    <w:p>
      <w:pPr>
        <w:spacing w:after="0" w:line="106"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498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Title</w:t>
            </w:r>
          </w:p>
        </w:tc>
        <w:tc>
          <w:tcPr>
            <w:tcW w:w="248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Date</w:t>
            </w:r>
          </w:p>
        </w:tc>
      </w:tr>
      <w:tr>
        <w:trPr>
          <w:trHeight w:val="39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Goldsmith</w:t>
            </w:r>
          </w:p>
        </w:tc>
        <w:tc>
          <w:tcPr>
            <w:tcW w:w="4980" w:type="dxa"/>
            <w:vAlign w:val="bottom"/>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2480" w:type="dxa"/>
            <w:vAlign w:val="bottom"/>
          </w:tcPr>
          <w:p>
            <w:pPr>
              <w:ind w:left="460"/>
              <w:spacing w:after="0"/>
              <w:rPr>
                <w:sz w:val="20"/>
                <w:szCs w:val="20"/>
                <w:color w:val="auto"/>
              </w:rPr>
            </w:pPr>
            <w:r>
              <w:rPr>
                <w:rFonts w:ascii="Arial" w:cs="Arial" w:eastAsia="Arial" w:hAnsi="Arial"/>
                <w:sz w:val="18"/>
                <w:szCs w:val="18"/>
                <w:color w:val="auto"/>
              </w:rPr>
              <w:t>July 6, 2020</w:t>
            </w:r>
          </w:p>
        </w:tc>
      </w:tr>
      <w:tr>
        <w:trPr>
          <w:trHeight w:val="209"/>
        </w:trPr>
        <w:tc>
          <w:tcPr>
            <w:tcW w:w="3560" w:type="dxa"/>
            <w:vAlign w:val="bottom"/>
          </w:tcPr>
          <w:p>
            <w:pPr>
              <w:jc w:val="center"/>
              <w:spacing w:after="0"/>
              <w:rPr>
                <w:sz w:val="20"/>
                <w:szCs w:val="20"/>
                <w:color w:val="auto"/>
              </w:rPr>
            </w:pPr>
            <w:r>
              <w:rPr>
                <w:rFonts w:ascii="Arial" w:cs="Arial" w:eastAsia="Arial" w:hAnsi="Arial"/>
                <w:sz w:val="18"/>
                <w:szCs w:val="18"/>
                <w:color w:val="auto"/>
                <w:w w:val="97"/>
              </w:rPr>
              <w:t>Mark A. Goldsmith, M.D., Ph.D.</w:t>
            </w:r>
          </w:p>
        </w:tc>
        <w:tc>
          <w:tcPr>
            <w:tcW w:w="498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2480" w:type="dxa"/>
            <w:vAlign w:val="bottom"/>
          </w:tcPr>
          <w:p>
            <w:pPr>
              <w:spacing w:after="0"/>
              <w:rPr>
                <w:sz w:val="18"/>
                <w:szCs w:val="18"/>
                <w:color w:val="auto"/>
              </w:rPr>
            </w:pPr>
          </w:p>
        </w:tc>
      </w:tr>
      <w:tr>
        <w:trPr>
          <w:trHeight w:val="41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Jack Anders</w:t>
            </w:r>
          </w:p>
        </w:tc>
        <w:tc>
          <w:tcPr>
            <w:tcW w:w="4980" w:type="dxa"/>
            <w:vAlign w:val="bottom"/>
          </w:tcPr>
          <w:p>
            <w:pPr>
              <w:ind w:left="100"/>
              <w:spacing w:after="0"/>
              <w:rPr>
                <w:sz w:val="20"/>
                <w:szCs w:val="20"/>
                <w:color w:val="auto"/>
              </w:rPr>
            </w:pPr>
            <w:r>
              <w:rPr>
                <w:rFonts w:ascii="Arial" w:cs="Arial" w:eastAsia="Arial" w:hAnsi="Arial"/>
                <w:sz w:val="18"/>
                <w:szCs w:val="18"/>
                <w:color w:val="auto"/>
              </w:rPr>
              <w:t>Vice President, Finance and Principal Accounting Officer</w:t>
            </w:r>
          </w:p>
        </w:tc>
        <w:tc>
          <w:tcPr>
            <w:tcW w:w="2480" w:type="dxa"/>
            <w:vAlign w:val="bottom"/>
          </w:tcPr>
          <w:p>
            <w:pPr>
              <w:ind w:left="460"/>
              <w:spacing w:after="0"/>
              <w:rPr>
                <w:sz w:val="20"/>
                <w:szCs w:val="20"/>
                <w:color w:val="auto"/>
              </w:rPr>
            </w:pPr>
            <w:r>
              <w:rPr>
                <w:rFonts w:ascii="Arial" w:cs="Arial" w:eastAsia="Arial" w:hAnsi="Arial"/>
                <w:sz w:val="18"/>
                <w:szCs w:val="18"/>
                <w:color w:val="auto"/>
              </w:rPr>
              <w:t>July 6, 2020</w:t>
            </w:r>
          </w:p>
        </w:tc>
      </w:tr>
      <w:tr>
        <w:trPr>
          <w:trHeight w:val="209"/>
        </w:trPr>
        <w:tc>
          <w:tcPr>
            <w:tcW w:w="3560" w:type="dxa"/>
            <w:vAlign w:val="bottom"/>
          </w:tcPr>
          <w:p>
            <w:pPr>
              <w:jc w:val="center"/>
              <w:spacing w:after="0"/>
              <w:rPr>
                <w:sz w:val="20"/>
                <w:szCs w:val="20"/>
                <w:color w:val="auto"/>
              </w:rPr>
            </w:pPr>
            <w:r>
              <w:rPr>
                <w:rFonts w:ascii="Arial" w:cs="Arial" w:eastAsia="Arial" w:hAnsi="Arial"/>
                <w:sz w:val="18"/>
                <w:szCs w:val="18"/>
                <w:color w:val="auto"/>
                <w:w w:val="96"/>
              </w:rPr>
              <w:t>Jack Anders</w:t>
            </w:r>
          </w:p>
        </w:tc>
        <w:tc>
          <w:tcPr>
            <w:tcW w:w="498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2480" w:type="dxa"/>
            <w:vAlign w:val="bottom"/>
          </w:tcPr>
          <w:p>
            <w:pPr>
              <w:spacing w:after="0"/>
              <w:rPr>
                <w:sz w:val="18"/>
                <w:szCs w:val="18"/>
                <w:color w:val="auto"/>
              </w:rPr>
            </w:pPr>
          </w:p>
        </w:tc>
      </w:tr>
      <w:tr>
        <w:trPr>
          <w:trHeight w:val="41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Elizabeth McKee Anderson</w:t>
            </w:r>
          </w:p>
        </w:tc>
        <w:tc>
          <w:tcPr>
            <w:tcW w:w="49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460"/>
              <w:spacing w:after="0"/>
              <w:rPr>
                <w:sz w:val="20"/>
                <w:szCs w:val="20"/>
                <w:color w:val="auto"/>
              </w:rPr>
            </w:pPr>
            <w:r>
              <w:rPr>
                <w:rFonts w:ascii="Arial" w:cs="Arial" w:eastAsia="Arial" w:hAnsi="Arial"/>
                <w:sz w:val="18"/>
                <w:szCs w:val="18"/>
                <w:color w:val="auto"/>
              </w:rPr>
              <w:t>July 6, 2020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Elizabeth McKee Anderson</w:t>
            </w:r>
          </w:p>
        </w:tc>
        <w:tc>
          <w:tcPr>
            <w:tcW w:w="4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420"/>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Alexis Borisy</w:t>
            </w:r>
          </w:p>
        </w:tc>
        <w:tc>
          <w:tcPr>
            <w:tcW w:w="49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460"/>
              <w:spacing w:after="0"/>
              <w:rPr>
                <w:sz w:val="20"/>
                <w:szCs w:val="20"/>
                <w:color w:val="auto"/>
              </w:rPr>
            </w:pPr>
            <w:r>
              <w:rPr>
                <w:rFonts w:ascii="Arial" w:cs="Arial" w:eastAsia="Arial" w:hAnsi="Arial"/>
                <w:sz w:val="18"/>
                <w:szCs w:val="18"/>
                <w:color w:val="auto"/>
              </w:rPr>
              <w:t>July 6, 2020</w:t>
            </w:r>
          </w:p>
        </w:tc>
      </w:tr>
      <w:tr>
        <w:trPr>
          <w:trHeight w:val="208"/>
        </w:trPr>
        <w:tc>
          <w:tcPr>
            <w:tcW w:w="356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498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420"/>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Neil Exter</w:t>
            </w:r>
          </w:p>
        </w:tc>
        <w:tc>
          <w:tcPr>
            <w:tcW w:w="49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480" w:type="dxa"/>
            <w:vAlign w:val="bottom"/>
          </w:tcPr>
          <w:p>
            <w:pPr>
              <w:ind w:left="460"/>
              <w:spacing w:after="0"/>
              <w:rPr>
                <w:sz w:val="20"/>
                <w:szCs w:val="20"/>
                <w:color w:val="auto"/>
              </w:rPr>
            </w:pPr>
            <w:r>
              <w:rPr>
                <w:rFonts w:ascii="Arial" w:cs="Arial" w:eastAsia="Arial" w:hAnsi="Arial"/>
                <w:sz w:val="18"/>
                <w:szCs w:val="18"/>
                <w:color w:val="auto"/>
              </w:rPr>
              <w:t>July 6, 2020</w:t>
            </w:r>
          </w:p>
        </w:tc>
      </w:tr>
      <w:tr>
        <w:trPr>
          <w:trHeight w:val="216"/>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Neil Exter</w:t>
            </w:r>
          </w:p>
        </w:tc>
        <w:tc>
          <w:tcPr>
            <w:tcW w:w="49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r>
      <w:tr>
        <w:trPr>
          <w:trHeight w:val="363"/>
        </w:trPr>
        <w:tc>
          <w:tcPr>
            <w:tcW w:w="3560" w:type="dxa"/>
            <w:vAlign w:val="bottom"/>
          </w:tcPr>
          <w:p>
            <w:pPr>
              <w:spacing w:after="0"/>
              <w:rPr>
                <w:sz w:val="24"/>
                <w:szCs w:val="24"/>
                <w:color w:val="auto"/>
              </w:rPr>
            </w:pPr>
          </w:p>
        </w:tc>
        <w:tc>
          <w:tcPr>
            <w:tcW w:w="4980" w:type="dxa"/>
            <w:vAlign w:val="bottom"/>
          </w:tcPr>
          <w:p>
            <w:pPr>
              <w:ind w:left="1820"/>
              <w:spacing w:after="0"/>
              <w:rPr>
                <w:sz w:val="20"/>
                <w:szCs w:val="20"/>
                <w:color w:val="auto"/>
              </w:rPr>
            </w:pPr>
            <w:r>
              <w:rPr>
                <w:rFonts w:ascii="Arial" w:cs="Arial" w:eastAsia="Arial" w:hAnsi="Arial"/>
                <w:sz w:val="18"/>
                <w:szCs w:val="18"/>
                <w:color w:val="auto"/>
              </w:rPr>
              <w:t>II-6</w:t>
            </w:r>
          </w:p>
        </w:tc>
        <w:tc>
          <w:tcPr>
            <w:tcW w:w="24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Signature</w:t>
            </w:r>
          </w:p>
        </w:tc>
        <w:tc>
          <w:tcPr>
            <w:tcW w:w="408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Title</w:t>
            </w:r>
          </w:p>
        </w:tc>
        <w:tc>
          <w:tcPr>
            <w:tcW w:w="338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99"/>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Peter Svennilson</w:t>
            </w: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380" w:type="dxa"/>
            <w:vAlign w:val="bottom"/>
            <w:vMerge w:val="restart"/>
          </w:tcPr>
          <w:p>
            <w:pPr>
              <w:ind w:left="1360"/>
              <w:spacing w:after="0"/>
              <w:rPr>
                <w:sz w:val="20"/>
                <w:szCs w:val="20"/>
                <w:color w:val="auto"/>
              </w:rPr>
            </w:pPr>
            <w:r>
              <w:rPr>
                <w:rFonts w:ascii="Arial" w:cs="Arial" w:eastAsia="Arial" w:hAnsi="Arial"/>
                <w:sz w:val="18"/>
                <w:szCs w:val="18"/>
                <w:color w:val="auto"/>
              </w:rPr>
              <w:t>July 6, 2020</w:t>
            </w:r>
          </w:p>
        </w:tc>
        <w:tc>
          <w:tcPr>
            <w:tcW w:w="0" w:type="dxa"/>
            <w:vAlign w:val="bottom"/>
          </w:tcPr>
          <w:p>
            <w:pPr>
              <w:spacing w:after="0"/>
              <w:rPr>
                <w:sz w:val="1"/>
                <w:szCs w:val="1"/>
                <w:color w:val="auto"/>
              </w:rPr>
            </w:pPr>
          </w:p>
        </w:tc>
      </w:tr>
      <w:tr>
        <w:trPr>
          <w:trHeight w:val="99"/>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6"/>
              </w:rPr>
              <w:t>Peter Svennilson</w:t>
            </w:r>
          </w:p>
        </w:tc>
        <w:tc>
          <w:tcPr>
            <w:tcW w:w="4080" w:type="dxa"/>
            <w:vAlign w:val="bottom"/>
            <w:vMerge w:val="continue"/>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Vincent A. Miller</w:t>
            </w: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380" w:type="dxa"/>
            <w:vAlign w:val="bottom"/>
            <w:vMerge w:val="restart"/>
          </w:tcPr>
          <w:p>
            <w:pPr>
              <w:ind w:left="1360"/>
              <w:spacing w:after="0"/>
              <w:rPr>
                <w:sz w:val="20"/>
                <w:szCs w:val="20"/>
                <w:color w:val="auto"/>
              </w:rPr>
            </w:pPr>
            <w:r>
              <w:rPr>
                <w:rFonts w:ascii="Arial" w:cs="Arial" w:eastAsia="Arial" w:hAnsi="Arial"/>
                <w:sz w:val="18"/>
                <w:szCs w:val="18"/>
                <w:color w:val="auto"/>
              </w:rPr>
              <w:t>July 6, 2020</w:t>
            </w:r>
          </w:p>
        </w:tc>
        <w:tc>
          <w:tcPr>
            <w:tcW w:w="0" w:type="dxa"/>
            <w:vAlign w:val="bottom"/>
          </w:tcPr>
          <w:p>
            <w:pPr>
              <w:spacing w:after="0"/>
              <w:rPr>
                <w:sz w:val="1"/>
                <w:szCs w:val="1"/>
                <w:color w:val="auto"/>
              </w:rPr>
            </w:pPr>
          </w:p>
        </w:tc>
      </w:tr>
      <w:tr>
        <w:trPr>
          <w:trHeight w:val="99"/>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6"/>
              </w:rPr>
              <w:t>Vincent A. Miller, M.D.</w:t>
            </w:r>
          </w:p>
        </w:tc>
        <w:tc>
          <w:tcPr>
            <w:tcW w:w="4080" w:type="dxa"/>
            <w:vAlign w:val="bottom"/>
            <w:vMerge w:val="continue"/>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Thilo Schroeder</w:t>
            </w: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380" w:type="dxa"/>
            <w:vAlign w:val="bottom"/>
            <w:vMerge w:val="restart"/>
          </w:tcPr>
          <w:p>
            <w:pPr>
              <w:ind w:left="1360"/>
              <w:spacing w:after="0"/>
              <w:rPr>
                <w:sz w:val="20"/>
                <w:szCs w:val="20"/>
                <w:color w:val="auto"/>
              </w:rPr>
            </w:pPr>
            <w:r>
              <w:rPr>
                <w:rFonts w:ascii="Arial" w:cs="Arial" w:eastAsia="Arial" w:hAnsi="Arial"/>
                <w:sz w:val="18"/>
                <w:szCs w:val="18"/>
                <w:color w:val="auto"/>
              </w:rPr>
              <w:t>July 6, 2020</w:t>
            </w:r>
          </w:p>
        </w:tc>
        <w:tc>
          <w:tcPr>
            <w:tcW w:w="0" w:type="dxa"/>
            <w:vAlign w:val="bottom"/>
          </w:tcPr>
          <w:p>
            <w:pPr>
              <w:spacing w:after="0"/>
              <w:rPr>
                <w:sz w:val="1"/>
                <w:szCs w:val="1"/>
                <w:color w:val="auto"/>
              </w:rPr>
            </w:pPr>
          </w:p>
        </w:tc>
      </w:tr>
      <w:tr>
        <w:trPr>
          <w:trHeight w:val="99"/>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6"/>
              </w:rPr>
              <w:t>Thilo Schroeder, Ph.D.</w:t>
            </w:r>
          </w:p>
        </w:tc>
        <w:tc>
          <w:tcPr>
            <w:tcW w:w="4080" w:type="dxa"/>
            <w:vAlign w:val="bottom"/>
            <w:vMerge w:val="continue"/>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Barbara Weber</w:t>
            </w: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380" w:type="dxa"/>
            <w:vAlign w:val="bottom"/>
            <w:vMerge w:val="restart"/>
          </w:tcPr>
          <w:p>
            <w:pPr>
              <w:ind w:left="1360"/>
              <w:spacing w:after="0"/>
              <w:rPr>
                <w:sz w:val="20"/>
                <w:szCs w:val="20"/>
                <w:color w:val="auto"/>
              </w:rPr>
            </w:pPr>
            <w:r>
              <w:rPr>
                <w:rFonts w:ascii="Arial" w:cs="Arial" w:eastAsia="Arial" w:hAnsi="Arial"/>
                <w:sz w:val="18"/>
                <w:szCs w:val="18"/>
                <w:color w:val="auto"/>
              </w:rPr>
              <w:t>July 6, 2020</w:t>
            </w:r>
          </w:p>
        </w:tc>
        <w:tc>
          <w:tcPr>
            <w:tcW w:w="0" w:type="dxa"/>
            <w:vAlign w:val="bottom"/>
          </w:tcPr>
          <w:p>
            <w:pPr>
              <w:spacing w:after="0"/>
              <w:rPr>
                <w:sz w:val="1"/>
                <w:szCs w:val="1"/>
                <w:color w:val="auto"/>
              </w:rPr>
            </w:pPr>
          </w:p>
        </w:tc>
      </w:tr>
      <w:tr>
        <w:trPr>
          <w:trHeight w:val="99"/>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6"/>
              </w:rPr>
              <w:t>Barbara Weber, M.D.</w:t>
            </w:r>
          </w:p>
        </w:tc>
        <w:tc>
          <w:tcPr>
            <w:tcW w:w="4080" w:type="dxa"/>
            <w:vAlign w:val="bottom"/>
            <w:vMerge w:val="continue"/>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3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Eric Schmidt</w:t>
            </w:r>
          </w:p>
        </w:tc>
        <w:tc>
          <w:tcPr>
            <w:tcW w:w="4080" w:type="dxa"/>
            <w:vAlign w:val="bottom"/>
            <w:vMerge w:val="restart"/>
          </w:tcPr>
          <w:p>
            <w:pPr>
              <w:ind w:left="100"/>
              <w:spacing w:after="0"/>
              <w:rPr>
                <w:sz w:val="20"/>
                <w:szCs w:val="20"/>
                <w:color w:val="auto"/>
              </w:rPr>
            </w:pPr>
            <w:r>
              <w:rPr>
                <w:rFonts w:ascii="Arial" w:cs="Arial" w:eastAsia="Arial" w:hAnsi="Arial"/>
                <w:sz w:val="18"/>
                <w:szCs w:val="18"/>
                <w:color w:val="auto"/>
              </w:rPr>
              <w:t>Director</w:t>
            </w:r>
          </w:p>
        </w:tc>
        <w:tc>
          <w:tcPr>
            <w:tcW w:w="3380" w:type="dxa"/>
            <w:vAlign w:val="bottom"/>
            <w:vMerge w:val="restart"/>
          </w:tcPr>
          <w:p>
            <w:pPr>
              <w:ind w:left="1360"/>
              <w:spacing w:after="0"/>
              <w:rPr>
                <w:sz w:val="20"/>
                <w:szCs w:val="20"/>
                <w:color w:val="auto"/>
              </w:rPr>
            </w:pPr>
            <w:r>
              <w:rPr>
                <w:rFonts w:ascii="Arial" w:cs="Arial" w:eastAsia="Arial" w:hAnsi="Arial"/>
                <w:sz w:val="18"/>
                <w:szCs w:val="18"/>
                <w:color w:val="auto"/>
              </w:rPr>
              <w:t>July 6, 2020</w:t>
            </w:r>
          </w:p>
        </w:tc>
        <w:tc>
          <w:tcPr>
            <w:tcW w:w="0" w:type="dxa"/>
            <w:vAlign w:val="bottom"/>
          </w:tcPr>
          <w:p>
            <w:pPr>
              <w:spacing w:after="0"/>
              <w:rPr>
                <w:sz w:val="1"/>
                <w:szCs w:val="1"/>
                <w:color w:val="auto"/>
              </w:rPr>
            </w:pPr>
          </w:p>
        </w:tc>
      </w:tr>
      <w:tr>
        <w:trPr>
          <w:trHeight w:val="99"/>
        </w:trPr>
        <w:tc>
          <w:tcPr>
            <w:tcW w:w="3560" w:type="dxa"/>
            <w:vAlign w:val="bottom"/>
            <w:vMerge w:val="restart"/>
          </w:tcPr>
          <w:p>
            <w:pPr>
              <w:jc w:val="center"/>
              <w:spacing w:after="0"/>
              <w:rPr>
                <w:sz w:val="20"/>
                <w:szCs w:val="20"/>
                <w:color w:val="auto"/>
              </w:rPr>
            </w:pPr>
            <w:r>
              <w:rPr>
                <w:rFonts w:ascii="Arial" w:cs="Arial" w:eastAsia="Arial" w:hAnsi="Arial"/>
                <w:sz w:val="18"/>
                <w:szCs w:val="18"/>
                <w:color w:val="auto"/>
                <w:w w:val="97"/>
              </w:rPr>
              <w:t>Eric Schmidt, Ph.D.</w:t>
            </w:r>
          </w:p>
        </w:tc>
        <w:tc>
          <w:tcPr>
            <w:tcW w:w="4080" w:type="dxa"/>
            <w:vAlign w:val="bottom"/>
            <w:vMerge w:val="continue"/>
          </w:tcPr>
          <w:p>
            <w:pPr>
              <w:spacing w:after="0"/>
              <w:rPr>
                <w:sz w:val="8"/>
                <w:szCs w:val="8"/>
                <w:color w:val="auto"/>
              </w:rPr>
            </w:pPr>
          </w:p>
        </w:tc>
        <w:tc>
          <w:tcPr>
            <w:tcW w:w="3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560" w:type="dxa"/>
            <w:vAlign w:val="bottom"/>
            <w:tcBorders>
              <w:bottom w:val="single" w:sz="8" w:color="auto"/>
            </w:tcBorders>
            <w:vMerge w:val="continue"/>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3560" w:type="dxa"/>
            <w:vAlign w:val="bottom"/>
          </w:tcPr>
          <w:p>
            <w:pPr>
              <w:spacing w:after="0"/>
              <w:rPr>
                <w:sz w:val="24"/>
                <w:szCs w:val="24"/>
                <w:color w:val="auto"/>
              </w:rPr>
            </w:pPr>
          </w:p>
        </w:tc>
        <w:tc>
          <w:tcPr>
            <w:tcW w:w="4080" w:type="dxa"/>
            <w:vAlign w:val="bottom"/>
          </w:tcPr>
          <w:p>
            <w:pPr>
              <w:ind w:left="1820"/>
              <w:spacing w:after="0"/>
              <w:rPr>
                <w:sz w:val="20"/>
                <w:szCs w:val="20"/>
                <w:color w:val="auto"/>
              </w:rPr>
            </w:pPr>
            <w:r>
              <w:rPr>
                <w:rFonts w:ascii="Arial" w:cs="Arial" w:eastAsia="Arial" w:hAnsi="Arial"/>
                <w:sz w:val="18"/>
                <w:szCs w:val="18"/>
                <w:color w:val="auto"/>
              </w:rPr>
              <w:t>II-7</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Revolution Medicines, Inc.</w:t>
      </w:r>
    </w:p>
    <w:p>
      <w:pPr>
        <w:spacing w:after="0" w:line="225" w:lineRule="exact"/>
        <w:rPr>
          <w:sz w:val="20"/>
          <w:szCs w:val="20"/>
          <w:color w:val="auto"/>
        </w:rPr>
      </w:pPr>
    </w:p>
    <w:p>
      <w:pPr>
        <w:ind w:left="4600" w:right="4460" w:hanging="155"/>
        <w:spacing w:after="0" w:line="563" w:lineRule="auto"/>
        <w:tabs>
          <w:tab w:leader="none" w:pos="472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Shares of Common Stock </w:t>
      </w:r>
      <w:r>
        <w:rPr>
          <w:rFonts w:ascii="Arial" w:cs="Arial" w:eastAsia="Arial" w:hAnsi="Arial"/>
          <w:sz w:val="16"/>
          <w:szCs w:val="16"/>
          <w:u w:val="single" w:color="auto"/>
          <w:color w:val="auto"/>
        </w:rPr>
        <w:t>Underwriting Agreement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Revolution Medicines, Inc., a Delaware corporation (the “Company”), proposes to issue and sell to the several underwriters listed in Schedule 1 hereto (the “Underwriters”), for whom you are acting as representatives (the “Representatives”), an aggregate of [●] shares of common stock, par value $0.0001 per share (“Common Stock”), of the Company (the “Underwritten Shares”) and, at the option of the Underwriters, up to an additional [●] shares of Common Stock of the Company (the “Option Shares”). The Underwritten Shares and the Option Shares are herein referred to as the “Shares”. The shares of Common Stock of the Company to be outstanding after giving effect to the sale of the Shares are referred to herein as the “Stock”.</w:t>
      </w:r>
    </w:p>
    <w:p>
      <w:pPr>
        <w:sectPr>
          <w:pgSz w:w="11900" w:h="16838" w:orient="portrait"/>
          <w:cols w:equalWidth="0" w:num="1">
            <w:col w:w="11020"/>
          </w:cols>
          <w:pgMar w:left="440" w:top="121" w:right="439" w:bottom="1440" w:gutter="0" w:footer="0" w:header="0"/>
        </w:sectPr>
      </w:pPr>
    </w:p>
    <w:bookmarkStart w:id="184" w:name="page185"/>
    <w:bookmarkEnd w:id="18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 with the several Underwriters concerning the purchase and sale of the Shares, as follows:</w:t>
      </w:r>
    </w:p>
    <w:p>
      <w:pPr>
        <w:spacing w:after="0" w:line="129" w:lineRule="exact"/>
        <w:rPr>
          <w:sz w:val="20"/>
          <w:szCs w:val="20"/>
          <w:color w:val="auto"/>
        </w:rPr>
      </w:pPr>
    </w:p>
    <w:p>
      <w:pPr>
        <w:ind w:firstLine="436"/>
        <w:spacing w:after="0" w:line="286"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Any reference in this underwriting agreement (this “Agreement”) to the Registration Statement, any Preliminary Prospectus or the Prospectus shall be deemed to refer to and include the documents incorporated by reference therein pursuant to Item 12 of Form S-1 under the Securities Act, as of the effective date of the Registration Statement or the date of such Preliminary Prospectus or the Prospectus, as the case may be. Capitalized terms used but not defined herein shall have the meanings given to such terms in the Registration Statement and the Prospectus.</w:t>
      </w:r>
    </w:p>
    <w:p>
      <w:pPr>
        <w:spacing w:after="0" w:line="16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with the pricing information set forth on Annex A, the “Pricing Disclosure Package”): a Preliminary Prospectus dated [•], 2020 and each “free-writing prospectus” (as defined pursuant to Rule 405 under the Securities Act) listed on Annex A hereto.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Time” means [●] P.M., New York City time, on [●], 2020.</w:t>
      </w:r>
    </w:p>
    <w:p>
      <w:pPr>
        <w:spacing w:after="0" w:line="225" w:lineRule="exact"/>
        <w:rPr>
          <w:sz w:val="20"/>
          <w:szCs w:val="20"/>
          <w:color w:val="auto"/>
        </w:rPr>
      </w:pPr>
    </w:p>
    <w:p>
      <w:pPr>
        <w:ind w:right="140" w:firstLine="436"/>
        <w:spacing w:after="0" w:line="259" w:lineRule="auto"/>
        <w:tabs>
          <w:tab w:leader="none" w:pos="6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Purchase of the Shares</w:t>
      </w:r>
      <w:r>
        <w:rPr>
          <w:rFonts w:ascii="Arial" w:cs="Arial" w:eastAsia="Arial" w:hAnsi="Arial"/>
          <w:sz w:val="18"/>
          <w:szCs w:val="18"/>
          <w:color w:val="auto"/>
        </w:rPr>
        <w:t>. (a) The Company agrees to issue and sell the Underwritten Shares to the several Underwriters as provided in this Agreement, and each Underwriter, on the basis of the representations, warranties and agreements set forth herein and subject to the conditions set forth herein, agrees, severally and not jointly, to purchase at a price per share of $[•] (the “Purchase Price”) from the Company the respective number of Underwritten Shares set forth opposite such Underwriter’s name in Schedule 1 hereto.</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In addition, the Company agrees to issue and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Shares at the Purchase Price less an amount per share equal to any dividends or distributions declared by the Company and payable on the Underwritten Shares but not payable on the Option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85" w:name="page186"/>
    <w:bookmarkEnd w:id="185"/>
    <w:p>
      <w:pPr>
        <w:ind w:right="10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Schedule 1 hereto (or such number increased as set forth in Section 10 hereof) bears to the aggregate number of Underwritten Shares being purchased from the Company by the several Underwriters, subject, however, to such adjustments to eliminate any fractional Shares as the Representatives in their sole discretion shall make.</w:t>
      </w:r>
    </w:p>
    <w:p>
      <w:pPr>
        <w:spacing w:after="0" w:line="176"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The Underwriters may exercise the option to purchase Option Shares at any time in whole, or from time to time in part, on or before the thirtieth day following the date of the Prospectus, by written notice from the Representatives to the Company.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full business day (as hereinafter defined) after the date of such notice (unless such time and date are postponed in accordance with the provisions of Section 10 hereof). Any such notice shall be given at least two business days prior to the date and time of delivery specified therein.</w:t>
      </w:r>
    </w:p>
    <w:p>
      <w:pPr>
        <w:spacing w:after="0" w:line="56" w:lineRule="exact"/>
        <w:rPr>
          <w:sz w:val="20"/>
          <w:szCs w:val="20"/>
          <w:color w:val="auto"/>
        </w:rPr>
      </w:pPr>
    </w:p>
    <w:p>
      <w:pPr>
        <w:jc w:val="both"/>
        <w:ind w:left="440" w:right="240" w:firstLine="419"/>
        <w:spacing w:after="0" w:line="263" w:lineRule="auto"/>
        <w:tabs>
          <w:tab w:leader="none" w:pos="11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understands that the Underwriters intend to make a public offering of the Shares, and initially to offer the Shares on the terms set forth in the Pricing Disclosure Package. The Company acknowledges and agrees that the Underwriters may offer and sell Shares to or through any affiliate of an Underwriter.</w:t>
      </w:r>
    </w:p>
    <w:p>
      <w:pPr>
        <w:spacing w:after="0" w:line="75" w:lineRule="exact"/>
        <w:rPr>
          <w:rFonts w:ascii="Arial" w:cs="Arial" w:eastAsia="Arial" w:hAnsi="Arial"/>
          <w:sz w:val="18"/>
          <w:szCs w:val="18"/>
          <w:color w:val="auto"/>
        </w:rPr>
      </w:pPr>
    </w:p>
    <w:p>
      <w:pPr>
        <w:ind w:left="440" w:right="20" w:firstLine="419"/>
        <w:spacing w:after="0" w:line="291" w:lineRule="auto"/>
        <w:tabs>
          <w:tab w:leader="none" w:pos="110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Payment for the Shares shall be made by wire transfer in immediately available funds to the account specified by the Company to the Representatives in the case of the Underwritten Shares, at the offices of Davis Polk &amp; Wardwell LLP, 1600 El Camino Real, Menlo Park, California 94025 at 10:00 A.M., New York City time, on [●], 2020, or at such other time or place on the same or such other date, not later than the fifth business day thereafter, as the Representatives and the Company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66"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taxes payable in connection with the sale of such Shares duly paid by the Company. Delivery of the Shares shall be made through the facilities of The Depository Trust Company (“DTC”) unless the Representatives shall otherwise instruct.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86" w:name="page187"/>
    <w:bookmarkEnd w:id="186"/>
    <w:p>
      <w:pPr>
        <w:ind w:left="4" w:right="20" w:firstLine="419"/>
        <w:spacing w:after="0" w:line="289" w:lineRule="auto"/>
        <w:tabs>
          <w:tab w:leader="none" w:pos="681" w:val="left"/>
        </w:tabs>
        <w:numPr>
          <w:ilvl w:val="1"/>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acknowledges and agrees that the Representatives and the other Underwriters are acting solely in the capacity of an arm’s length contractual counterparty to the Company with respect to the offering of Shares contemplated hereby (including in connection with determining the terms of the offering) and not as a financial advisor or a fiduciary to, or an agent of, the Company or any other person. Additionally, neither the Representatives nor the other Underwriters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neither the Representatives nor the other Underwriters shall have any responsibility or liability to the Company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w:t>
      </w:r>
    </w:p>
    <w:p>
      <w:pPr>
        <w:spacing w:after="0" w:line="166" w:lineRule="exact"/>
        <w:rPr>
          <w:rFonts w:ascii="Arial" w:cs="Arial" w:eastAsia="Arial" w:hAnsi="Arial"/>
          <w:sz w:val="16"/>
          <w:szCs w:val="16"/>
          <w:color w:val="auto"/>
        </w:rPr>
      </w:pPr>
    </w:p>
    <w:p>
      <w:pPr>
        <w:ind w:left="184" w:hanging="184"/>
        <w:spacing w:after="0"/>
        <w:tabs>
          <w:tab w:leader="none" w:pos="18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each Underwriter that:</w:t>
      </w:r>
    </w:p>
    <w:p>
      <w:pPr>
        <w:spacing w:after="0" w:line="117" w:lineRule="exact"/>
        <w:rPr>
          <w:rFonts w:ascii="Arial" w:cs="Arial" w:eastAsia="Arial" w:hAnsi="Arial"/>
          <w:sz w:val="18"/>
          <w:szCs w:val="18"/>
          <w:color w:val="auto"/>
        </w:rPr>
      </w:pPr>
    </w:p>
    <w:p>
      <w:pPr>
        <w:ind w:left="4" w:right="120" w:firstLine="419"/>
        <w:spacing w:after="0" w:line="290" w:lineRule="auto"/>
        <w:tabs>
          <w:tab w:leader="none" w:pos="671" w:val="left"/>
        </w:tabs>
        <w:numPr>
          <w:ilvl w:val="1"/>
          <w:numId w:val="105"/>
        </w:numPr>
        <w:rPr>
          <w:rFonts w:ascii="Arial" w:cs="Arial" w:eastAsia="Arial" w:hAnsi="Arial"/>
          <w:sz w:val="16"/>
          <w:szCs w:val="16"/>
          <w:color w:val="auto"/>
        </w:rPr>
      </w:pPr>
      <w:r>
        <w:rPr>
          <w:rFonts w:ascii="Arial" w:cs="Arial" w:eastAsia="Arial" w:hAnsi="Arial"/>
          <w:sz w:val="16"/>
          <w:szCs w:val="16"/>
          <w:i w:val="1"/>
          <w:iCs w:val="1"/>
          <w:color w:val="auto"/>
        </w:rPr>
        <w:t xml:space="preserve">Preliminary Prospectus. </w:t>
      </w:r>
      <w:r>
        <w:rPr>
          <w:rFonts w:ascii="Arial" w:cs="Arial" w:eastAsia="Arial" w:hAnsi="Arial"/>
          <w:sz w:val="16"/>
          <w:szCs w:val="16"/>
          <w:color w:val="auto"/>
        </w:rPr>
        <w:t>No order preventing or suspending the use of any Preliminary Prospectus has been issued by the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each Preliminary Prospectus included in the Pricing Disclosure Package, at the time of filing thereof, complied in all material respects with the applicable provisions of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7(b) hereof.</w:t>
      </w:r>
    </w:p>
    <w:p>
      <w:pPr>
        <w:spacing w:after="0" w:line="57" w:lineRule="exact"/>
        <w:rPr>
          <w:rFonts w:ascii="Arial" w:cs="Arial" w:eastAsia="Arial" w:hAnsi="Arial"/>
          <w:sz w:val="16"/>
          <w:szCs w:val="16"/>
          <w:color w:val="auto"/>
        </w:rPr>
      </w:pPr>
    </w:p>
    <w:p>
      <w:pPr>
        <w:ind w:left="4" w:firstLine="419"/>
        <w:spacing w:after="0" w:line="253" w:lineRule="auto"/>
        <w:tabs>
          <w:tab w:leader="none" w:pos="681" w:val="left"/>
        </w:tabs>
        <w:numPr>
          <w:ilvl w:val="1"/>
          <w:numId w:val="105"/>
        </w:numPr>
        <w:rPr>
          <w:rFonts w:ascii="Arial" w:cs="Arial" w:eastAsia="Arial" w:hAnsi="Arial"/>
          <w:sz w:val="18"/>
          <w:szCs w:val="18"/>
          <w:color w:val="auto"/>
        </w:rPr>
      </w:pPr>
      <w:r>
        <w:rPr>
          <w:rFonts w:ascii="Arial" w:cs="Arial" w:eastAsia="Arial" w:hAnsi="Arial"/>
          <w:sz w:val="18"/>
          <w:szCs w:val="18"/>
          <w:i w:val="1"/>
          <w:iCs w:val="1"/>
          <w:color w:val="auto"/>
        </w:rPr>
        <w:t>Pricing Disclosure Package</w:t>
      </w:r>
      <w:r>
        <w:rPr>
          <w:rFonts w:ascii="Arial" w:cs="Arial" w:eastAsia="Arial" w:hAnsi="Arial"/>
          <w:sz w:val="18"/>
          <w:szCs w:val="18"/>
          <w:color w:val="auto"/>
        </w:rPr>
        <w:t>. The Pricing Disclosure Package as of the Applicable Time did not, and as of the Closing Date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7(b) hereof.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29"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4"/>
          </w:cols>
          <w:pgMar w:left="876" w:top="274" w:right="519" w:bottom="1440" w:gutter="0" w:footer="0" w:header="0"/>
        </w:sectPr>
      </w:pPr>
    </w:p>
    <w:bookmarkStart w:id="187" w:name="page188"/>
    <w:bookmarkEnd w:id="187"/>
    <w:p>
      <w:pPr>
        <w:ind w:firstLine="419"/>
        <w:spacing w:after="0" w:line="267" w:lineRule="auto"/>
        <w:tabs>
          <w:tab w:leader="none" w:pos="667"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Issuer Free Writing Prospectus. </w:t>
      </w:r>
      <w:r>
        <w:rPr>
          <w:rFonts w:ascii="Arial" w:cs="Arial" w:eastAsia="Arial" w:hAnsi="Arial"/>
          <w:sz w:val="17"/>
          <w:szCs w:val="17"/>
          <w:color w:val="auto"/>
        </w:rPr>
        <w:t>Other than the Registration Statement, the Preliminary Prospectus and the Prospectus,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(including its agents and representatives, other than the Underwriters in their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all other Issuer Free Writing Prospectuses and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each such Issuer Free Writing Prospectus or Preliminary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7(b) hereof.</w:t>
      </w:r>
    </w:p>
    <w:p>
      <w:pPr>
        <w:spacing w:after="0" w:line="81" w:lineRule="exact"/>
        <w:rPr>
          <w:rFonts w:ascii="Arial" w:cs="Arial" w:eastAsia="Arial" w:hAnsi="Arial"/>
          <w:sz w:val="17"/>
          <w:szCs w:val="17"/>
          <w:color w:val="auto"/>
        </w:rPr>
      </w:pPr>
    </w:p>
    <w:p>
      <w:pPr>
        <w:ind w:right="340" w:firstLine="419"/>
        <w:spacing w:after="0" w:line="296" w:lineRule="auto"/>
        <w:tabs>
          <w:tab w:leader="none" w:pos="678"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Emerging Growth Company</w:t>
      </w:r>
      <w:r>
        <w:rPr>
          <w:rFonts w:ascii="Arial" w:cs="Arial" w:eastAsia="Arial" w:hAnsi="Arial"/>
          <w:sz w:val="16"/>
          <w:szCs w:val="16"/>
          <w:color w:val="auto"/>
        </w:rPr>
        <w:t>. From the time of initial confidential submission of the Registration Statement to the Commission (or, if</w:t>
      </w:r>
      <w:r>
        <w:rPr>
          <w:rFonts w:ascii="Arial" w:cs="Arial" w:eastAsia="Arial" w:hAnsi="Arial"/>
          <w:sz w:val="16"/>
          <w:szCs w:val="16"/>
          <w:i w:val="1"/>
          <w:iCs w:val="1"/>
          <w:color w:val="auto"/>
        </w:rPr>
        <w:t xml:space="preserve"> </w:t>
      </w:r>
      <w:r>
        <w:rPr>
          <w:rFonts w:ascii="Arial" w:cs="Arial" w:eastAsia="Arial" w:hAnsi="Arial"/>
          <w:sz w:val="16"/>
          <w:szCs w:val="16"/>
          <w:color w:val="auto"/>
        </w:rPr>
        <w:t>earlier, the first date on which the Company engaged directly or through any person authorized to act on its behalf in any Testing-the-Waters Communication (as defined below)) through the date hereof, the Company has been and is an “emerging growth company,” as defined in Section 2(a) of the Securities Act (an “Emerging Growth Company”). “Testing-the-Waters Communication” means any oral or written communication with potential investors undertaken in reliance on either Section 5(d) of, or Rule 163B under, the Securities Act.</w:t>
      </w:r>
    </w:p>
    <w:p>
      <w:pPr>
        <w:spacing w:after="0" w:line="53" w:lineRule="exact"/>
        <w:rPr>
          <w:rFonts w:ascii="Arial" w:cs="Arial" w:eastAsia="Arial" w:hAnsi="Arial"/>
          <w:sz w:val="16"/>
          <w:szCs w:val="16"/>
          <w:color w:val="auto"/>
        </w:rPr>
      </w:pPr>
    </w:p>
    <w:p>
      <w:pPr>
        <w:ind w:left="660" w:hanging="241"/>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Testing-the-Waters Materials. </w:t>
      </w:r>
      <w:r>
        <w:rPr>
          <w:rFonts w:ascii="Arial" w:cs="Arial" w:eastAsia="Arial" w:hAnsi="Arial"/>
          <w:sz w:val="17"/>
          <w:szCs w:val="17"/>
          <w:color w:val="auto"/>
        </w:rPr>
        <w:t>The Company (i) has not alone engaged in any Testing-the-Waters Communications other than</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Testing-the-Waters Communications with the consent of the Representatives with (x) entities that are qualified institutional buyers (“QIBs”) within the meaning of Rule 144A under the Securities Act or institutions that are accredited investors within the meaning of Rule 501(a)(1), (a)(2), (a)(3), (a)(7) or (a)(8) under the Securities Act (“IAIs”) and otherwise in compliance with the requirements of Section 5(d) of the Securities Act or (y) entities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88" w:name="page189"/>
    <w:bookmarkEnd w:id="188"/>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the Company reasonably believed to be QIBs or IAIs and otherwise in compliance with the requirements of Rule 163B under the Securities Act, and (ii) has not authorized anyone other than the Representatives to engage in Testing-the-Waters Communications. The Company has not distributed or approved for distribution any Written Testing-the-Waters Communications (as defined below) other than those listed on Annex B hereto. “Written Testing-the-Waters Communication” means any Testing-the-Waters Communication that is a written communication within the meaning of Rule 405 under the Securities Act. Any individual Written Testing-the-Waters Communication does not conflict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58" w:lineRule="exact"/>
        <w:rPr>
          <w:sz w:val="20"/>
          <w:szCs w:val="20"/>
          <w:color w:val="auto"/>
        </w:rPr>
      </w:pPr>
    </w:p>
    <w:p>
      <w:pPr>
        <w:ind w:firstLine="419"/>
        <w:spacing w:after="0" w:line="286" w:lineRule="auto"/>
        <w:tabs>
          <w:tab w:leader="none" w:pos="648"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Statement and Prospectus. </w:t>
      </w:r>
      <w:r>
        <w:rPr>
          <w:rFonts w:ascii="Arial" w:cs="Arial" w:eastAsia="Arial" w:hAnsi="Arial"/>
          <w:sz w:val="16"/>
          <w:szCs w:val="16"/>
          <w:color w:val="auto"/>
        </w:rPr>
        <w:t>The Registration Statement has been declared effective by the Commission. No order suspending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applicable requirements of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7(b) hereof.</w:t>
      </w:r>
    </w:p>
    <w:p>
      <w:pPr>
        <w:spacing w:after="0" w:line="62" w:lineRule="exact"/>
        <w:rPr>
          <w:rFonts w:ascii="Arial" w:cs="Arial" w:eastAsia="Arial" w:hAnsi="Arial"/>
          <w:sz w:val="16"/>
          <w:szCs w:val="16"/>
          <w:color w:val="auto"/>
        </w:rPr>
      </w:pPr>
    </w:p>
    <w:p>
      <w:pPr>
        <w:ind w:right="40" w:firstLine="419"/>
        <w:spacing w:after="0" w:line="257" w:lineRule="auto"/>
        <w:tabs>
          <w:tab w:leader="none" w:pos="678"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Incorporated Documents. </w:t>
      </w:r>
      <w:r>
        <w:rPr>
          <w:rFonts w:ascii="Arial" w:cs="Arial" w:eastAsia="Arial" w:hAnsi="Arial"/>
          <w:sz w:val="18"/>
          <w:szCs w:val="18"/>
          <w:color w:val="auto"/>
        </w:rPr>
        <w:t>The documents incorporated by reference in the Registration Statement, the Prospectus and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when they were filed with the Commission conformed in all material respects to the requirements of the Securities Exchange Act of 1934, as amended, and the rules and regulations of the Commission thereunder (collectively, the “Exchange Act”) and none of such documents contained any untrue statement of a material fact or omitted to state a material fact necessary to make the statements therein, in the light of the circumstances under which they were made, not misleading.</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89" w:name="page190"/>
    <w:bookmarkEnd w:id="189"/>
    <w:p>
      <w:pPr>
        <w:ind w:firstLine="419"/>
        <w:spacing w:after="0" w:line="287" w:lineRule="auto"/>
        <w:tabs>
          <w:tab w:leader="none" w:pos="678"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Financial Statements. </w:t>
      </w:r>
      <w:r>
        <w:rPr>
          <w:rFonts w:ascii="Arial" w:cs="Arial" w:eastAsia="Arial" w:hAnsi="Arial"/>
          <w:sz w:val="16"/>
          <w:szCs w:val="16"/>
          <w:color w:val="auto"/>
        </w:rPr>
        <w:t>The financial statements (including the related notes thereto) of the Company and its consolidated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in the case of unaudited interim financial statements, which are subject to normal year-end adjustments and do not contain certain footnotes as permitted by the applicable rules of the Commission,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 material respects the information shown thereby.</w:t>
      </w:r>
    </w:p>
    <w:p>
      <w:pPr>
        <w:spacing w:after="0" w:line="63" w:lineRule="exact"/>
        <w:rPr>
          <w:rFonts w:ascii="Arial" w:cs="Arial" w:eastAsia="Arial" w:hAnsi="Arial"/>
          <w:sz w:val="16"/>
          <w:szCs w:val="16"/>
          <w:color w:val="auto"/>
        </w:rPr>
      </w:pPr>
    </w:p>
    <w:p>
      <w:pPr>
        <w:ind w:right="20" w:firstLine="419"/>
        <w:spacing w:after="0" w:line="268" w:lineRule="auto"/>
        <w:tabs>
          <w:tab w:leader="none" w:pos="638"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Since the date of the most recent financial statements of the Company included or incorporated by</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in the Registration Statement, the Pricing Disclosure Package and the Prospectus, (i) there has not been any change in the capital stock (other than the issuance of shares of Common Stock upon exercise of stock options and warrants described as outstanding in, and the grant of options and awards under existing equity incentive plans described in, the Registration Statement, the Pricing Disclosure Package and the Prospectus),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having jurisdiction over the Company, except in each case as otherwise disclosed in the Registration Statement, the Pricing Disclosure Package and the Prospectus.</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880" w:top="274" w:right="519" w:bottom="1440" w:gutter="0" w:footer="0" w:header="0"/>
        </w:sectPr>
      </w:pPr>
    </w:p>
    <w:bookmarkStart w:id="190" w:name="page191"/>
    <w:bookmarkEnd w:id="190"/>
    <w:p>
      <w:pPr>
        <w:ind w:right="80" w:firstLine="419"/>
        <w:spacing w:after="0" w:line="269" w:lineRule="auto"/>
        <w:tabs>
          <w:tab w:leader="none" w:pos="638"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Organization and Good Standing. </w:t>
      </w:r>
      <w:r>
        <w:rPr>
          <w:rFonts w:ascii="Arial" w:cs="Arial" w:eastAsia="Arial" w:hAnsi="Arial"/>
          <w:sz w:val="17"/>
          <w:szCs w:val="17"/>
          <w:color w:val="auto"/>
        </w:rPr>
        <w:t>The Company and each of its subsidiaries have been duly organized and are validly existing and in</w:t>
      </w:r>
      <w:r>
        <w:rPr>
          <w:rFonts w:ascii="Arial" w:cs="Arial" w:eastAsia="Arial" w:hAnsi="Arial"/>
          <w:sz w:val="17"/>
          <w:szCs w:val="17"/>
          <w:i w:val="1"/>
          <w:iCs w:val="1"/>
          <w:color w:val="auto"/>
        </w:rPr>
        <w:t xml:space="preserve"> </w:t>
      </w:r>
      <w:r>
        <w:rPr>
          <w:rFonts w:ascii="Arial" w:cs="Arial" w:eastAsia="Arial" w:hAnsi="Arial"/>
          <w:sz w:val="17"/>
          <w:szCs w:val="17"/>
          <w:color w:val="auto"/>
        </w:rPr>
        <w:t>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individually or in the aggregate,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 The subsidiaries listed in Schedule 2 to this Agreement are the only significant subsidiaries (as defined below) of the Company.</w:t>
      </w:r>
    </w:p>
    <w:p>
      <w:pPr>
        <w:spacing w:after="0" w:line="77" w:lineRule="exact"/>
        <w:rPr>
          <w:rFonts w:ascii="Arial" w:cs="Arial" w:eastAsia="Arial" w:hAnsi="Arial"/>
          <w:sz w:val="17"/>
          <w:szCs w:val="17"/>
          <w:color w:val="auto"/>
        </w:rPr>
      </w:pPr>
    </w:p>
    <w:p>
      <w:pPr>
        <w:ind w:firstLine="419"/>
        <w:spacing w:after="0" w:line="287" w:lineRule="auto"/>
        <w:tabs>
          <w:tab w:leader="none" w:pos="678" w:val="left"/>
        </w:tabs>
        <w:numPr>
          <w:ilvl w:val="0"/>
          <w:numId w:val="109"/>
        </w:numPr>
        <w:rPr>
          <w:rFonts w:ascii="Arial" w:cs="Arial" w:eastAsia="Arial" w:hAnsi="Arial"/>
          <w:sz w:val="16"/>
          <w:szCs w:val="16"/>
          <w:color w:val="auto"/>
        </w:rPr>
      </w:pPr>
      <w:r>
        <w:rPr>
          <w:rFonts w:ascii="Arial" w:cs="Arial" w:eastAsia="Arial" w:hAnsi="Arial"/>
          <w:sz w:val="16"/>
          <w:szCs w:val="16"/>
          <w:i w:val="1"/>
          <w:iCs w:val="1"/>
          <w:color w:val="auto"/>
        </w:rPr>
        <w:t xml:space="preserve">Capitalization. </w:t>
      </w:r>
      <w:r>
        <w:rPr>
          <w:rFonts w:ascii="Arial" w:cs="Arial" w:eastAsia="Arial" w:hAnsi="Arial"/>
          <w:sz w:val="16"/>
          <w:szCs w:val="16"/>
          <w:color w:val="auto"/>
        </w:rPr>
        <w:t>The Company has an authorized capitalization as set forth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under the heading “Capitalization”;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Pricing Disclosure Package and the Prospectus,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w:t>
      </w:r>
    </w:p>
    <w:p>
      <w:pPr>
        <w:spacing w:after="0" w:line="59" w:lineRule="exact"/>
        <w:rPr>
          <w:rFonts w:ascii="Arial" w:cs="Arial" w:eastAsia="Arial" w:hAnsi="Arial"/>
          <w:sz w:val="16"/>
          <w:szCs w:val="16"/>
          <w:color w:val="auto"/>
        </w:rPr>
      </w:pPr>
    </w:p>
    <w:p>
      <w:pPr>
        <w:ind w:right="80" w:firstLine="419"/>
        <w:spacing w:after="0" w:line="255" w:lineRule="auto"/>
        <w:tabs>
          <w:tab w:leader="none" w:pos="638"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With respect to the stock options (the “Stock Options”) granted pursuant to the equity-based compensation plans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and its subsidiaries (the “Company Equity Plans”), (i) each Stock Option intended to qualify as an “incentive stock option” under Section 422 of the Code so qualifies, (ii) each grant of a Stock Option was duly authorized no later than the date on which the grant of such Stock Option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91" w:name="page192"/>
    <w:bookmarkEnd w:id="191"/>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governing such grant (if any) was duly executed and delivered by each party thereto, (iii) each such grant was made in accordance with the terms of the Company Equity Plans, any applicable provisions of the Exchange Act and all other applicable laws and regulatory rules or requirements, including the applicable rules of the Nasdaq Global Select Market (the “Nasdaq Market”),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w:t>
      </w:r>
    </w:p>
    <w:p>
      <w:pPr>
        <w:spacing w:after="0" w:line="84" w:lineRule="exact"/>
        <w:rPr>
          <w:sz w:val="20"/>
          <w:szCs w:val="20"/>
          <w:color w:val="auto"/>
        </w:rPr>
      </w:pPr>
    </w:p>
    <w:p>
      <w:pPr>
        <w:ind w:left="720" w:hanging="301"/>
        <w:spacing w:after="0"/>
        <w:tabs>
          <w:tab w:leader="none" w:pos="72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 xml:space="preserve">Due Authorization. </w:t>
      </w:r>
      <w:r>
        <w:rPr>
          <w:rFonts w:ascii="Arial" w:cs="Arial" w:eastAsia="Arial" w:hAnsi="Arial"/>
          <w:sz w:val="17"/>
          <w:szCs w:val="17"/>
          <w:color w:val="auto"/>
        </w:rPr>
        <w:t>The Company has full right, power and authority to execute and deliver this Agreement and to perform its</w:t>
      </w:r>
    </w:p>
    <w:p>
      <w:pPr>
        <w:spacing w:after="0" w:line="34" w:lineRule="exact"/>
        <w:rPr>
          <w:rFonts w:ascii="Arial" w:cs="Arial" w:eastAsia="Arial" w:hAnsi="Arial"/>
          <w:sz w:val="17"/>
          <w:szCs w:val="17"/>
          <w:color w:val="auto"/>
        </w:rPr>
      </w:pPr>
    </w:p>
    <w:p>
      <w:pPr>
        <w:ind w:right="100"/>
        <w:spacing w:after="0" w:line="260" w:lineRule="auto"/>
        <w:rPr>
          <w:rFonts w:ascii="Arial" w:cs="Arial" w:eastAsia="Arial" w:hAnsi="Arial"/>
          <w:sz w:val="17"/>
          <w:szCs w:val="17"/>
          <w:color w:val="auto"/>
        </w:rPr>
      </w:pPr>
      <w:r>
        <w:rPr>
          <w:rFonts w:ascii="Arial" w:cs="Arial" w:eastAsia="Arial" w:hAnsi="Arial"/>
          <w:sz w:val="18"/>
          <w:szCs w:val="18"/>
          <w:color w:val="auto"/>
        </w:rPr>
        <w:t>obligations hereunder; and all action required to be taken for the due and proper authorization, execution and delivery by it of this Agreement and the consummation by it of the transactions contemplated hereby has been duly and validly taken.</w:t>
      </w:r>
    </w:p>
    <w:p>
      <w:pPr>
        <w:spacing w:after="0" w:line="77" w:lineRule="exact"/>
        <w:rPr>
          <w:rFonts w:ascii="Arial" w:cs="Arial" w:eastAsia="Arial" w:hAnsi="Arial"/>
          <w:sz w:val="17"/>
          <w:szCs w:val="17"/>
          <w:color w:val="auto"/>
        </w:rPr>
      </w:pPr>
    </w:p>
    <w:p>
      <w:pPr>
        <w:ind w:left="680" w:hanging="26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40" w:firstLine="419"/>
        <w:spacing w:after="0" w:line="259" w:lineRule="auto"/>
        <w:tabs>
          <w:tab w:leader="none" w:pos="678"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The Shares. </w:t>
      </w:r>
      <w:r>
        <w:rPr>
          <w:rFonts w:ascii="Arial" w:cs="Arial" w:eastAsia="Arial" w:hAnsi="Arial"/>
          <w:sz w:val="18"/>
          <w:szCs w:val="18"/>
          <w:color w:val="auto"/>
        </w:rPr>
        <w:t>The Shares to be issued and sold by the Company hereunder have been duly authorized by the Company and, when issued</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delivered and paid for as provided herein, will be duly and validly issued, will be fully paid and nonassessable and will conform to the descriptions thereof in the Registration Statement, the Pricing Disclosure Package and the Prospectus; and the issuance of the Shares is not subject to any preemptive or similar rights.</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 xml:space="preserve">No Violation or Default. </w:t>
      </w:r>
      <w:r>
        <w:rPr>
          <w:rFonts w:ascii="Arial" w:cs="Arial" w:eastAsia="Arial" w:hAnsi="Arial"/>
          <w:sz w:val="18"/>
          <w:szCs w:val="18"/>
          <w:color w:val="auto"/>
        </w:rPr>
        <w:t>Neither the Company nor any of its subsidiaries is (i) in violation of its charter or by-laws or similar</w:t>
      </w:r>
    </w:p>
    <w:p>
      <w:pPr>
        <w:spacing w:after="0" w:line="23" w:lineRule="exact"/>
        <w:rPr>
          <w:rFonts w:ascii="Arial" w:cs="Arial" w:eastAsia="Arial" w:hAnsi="Arial"/>
          <w:sz w:val="18"/>
          <w:szCs w:val="18"/>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law or statute or any judgment, order, rule or regulation of any court or arbitrator or governmental or regulatory authority having jurisdiction over the Company, except, in the case of clauses (ii) and (iii) above, for any such default or violation that would not, individually or in the aggregate, have a Material Adverse Effect.</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92" w:name="page193"/>
    <w:bookmarkEnd w:id="192"/>
    <w:p>
      <w:pPr>
        <w:ind w:left="4" w:firstLine="419"/>
        <w:spacing w:after="0" w:line="291" w:lineRule="auto"/>
        <w:tabs>
          <w:tab w:leader="none" w:pos="651" w:val="left"/>
        </w:tabs>
        <w:numPr>
          <w:ilvl w:val="1"/>
          <w:numId w:val="11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 Conflicts. </w:t>
      </w:r>
      <w:r>
        <w:rPr>
          <w:rFonts w:ascii="Arial" w:cs="Arial" w:eastAsia="Arial" w:hAnsi="Arial"/>
          <w:sz w:val="16"/>
          <w:szCs w:val="16"/>
          <w:color w:val="auto"/>
        </w:rPr>
        <w:t>The execution, delivery and performance by the Company of this Agreement, the issuance and sale of the Shares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by the Company of the transactions contemplated by this Agreement or the Pricing Disclosure Package and the Prospectus will not</w:t>
      </w:r>
    </w:p>
    <w:p>
      <w:pPr>
        <w:ind w:left="4" w:hanging="4"/>
        <w:spacing w:after="0" w:line="268" w:lineRule="auto"/>
        <w:tabs>
          <w:tab w:leader="none" w:pos="21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except, in the case of clauses (i) and (iii) above, for any such conflict, breach, violation, default, lien, charge or encumbrance that would not, individually or in the aggregate, have a Material Adverse Effect.</w:t>
      </w:r>
    </w:p>
    <w:p>
      <w:pPr>
        <w:spacing w:after="0" w:line="73" w:lineRule="exact"/>
        <w:rPr>
          <w:rFonts w:ascii="Arial" w:cs="Arial" w:eastAsia="Arial" w:hAnsi="Arial"/>
          <w:sz w:val="17"/>
          <w:szCs w:val="17"/>
          <w:color w:val="auto"/>
        </w:rPr>
      </w:pPr>
    </w:p>
    <w:p>
      <w:pPr>
        <w:ind w:left="4" w:firstLine="419"/>
        <w:spacing w:after="0" w:line="273" w:lineRule="auto"/>
        <w:tabs>
          <w:tab w:leader="none" w:pos="661" w:val="left"/>
        </w:tabs>
        <w:numPr>
          <w:ilvl w:val="1"/>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having jurisdiction over the Company is required for the execution, delivery and performance by the Company of this Agreement, the issuance and sale of the Shares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the Nasdaq Market and under applicable state securities laws in connection with the purchase and distribution of the Shares by the Underwriters.</w:t>
      </w:r>
    </w:p>
    <w:p>
      <w:pPr>
        <w:spacing w:after="0" w:line="69" w:lineRule="exact"/>
        <w:rPr>
          <w:rFonts w:ascii="Arial" w:cs="Arial" w:eastAsia="Arial" w:hAnsi="Arial"/>
          <w:sz w:val="17"/>
          <w:szCs w:val="17"/>
          <w:color w:val="auto"/>
        </w:rPr>
      </w:pPr>
    </w:p>
    <w:p>
      <w:pPr>
        <w:ind w:left="4" w:firstLine="419"/>
        <w:spacing w:after="0" w:line="288" w:lineRule="auto"/>
        <w:tabs>
          <w:tab w:leader="none" w:pos="641"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There are no legal, governmental or regulatory investigations, actions, demands, claims, suits, arbitrations, inquiries</w:t>
      </w:r>
      <w:r>
        <w:rPr>
          <w:rFonts w:ascii="Arial" w:cs="Arial" w:eastAsia="Arial" w:hAnsi="Arial"/>
          <w:sz w:val="16"/>
          <w:szCs w:val="16"/>
          <w:i w:val="1"/>
          <w:iCs w:val="1"/>
          <w:color w:val="auto"/>
        </w:rPr>
        <w:t xml:space="preserve"> </w:t>
      </w:r>
      <w:r>
        <w:rPr>
          <w:rFonts w:ascii="Arial" w:cs="Arial" w:eastAsia="Arial" w:hAnsi="Arial"/>
          <w:sz w:val="16"/>
          <w:szCs w:val="16"/>
          <w:color w:val="auto"/>
        </w:rPr>
        <w:t>or proceedings (“Actions”) pending to which the Company or any of its subsidiaries is or may reasonably be expected to become a party or to which any property of the Company or any of its subsidiaries is or may be the subject that, individually or in the aggregate, if determined adversely to the Company or any of its subsidiaries, would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01"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4"/>
          </w:cols>
          <w:pgMar w:left="876" w:top="274" w:right="499" w:bottom="1440" w:gutter="0" w:footer="0" w:header="0"/>
        </w:sectPr>
      </w:pPr>
    </w:p>
    <w:bookmarkStart w:id="193" w:name="page194"/>
    <w:bookmarkEnd w:id="193"/>
    <w:p>
      <w:pPr>
        <w:ind w:left="4" w:right="20" w:firstLine="419"/>
        <w:spacing w:after="0" w:line="259" w:lineRule="auto"/>
        <w:tabs>
          <w:tab w:leader="none" w:pos="681"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Accountants</w:t>
      </w:r>
      <w:r>
        <w:rPr>
          <w:rFonts w:ascii="Arial" w:cs="Arial" w:eastAsia="Arial" w:hAnsi="Arial"/>
          <w:sz w:val="18"/>
          <w:szCs w:val="18"/>
          <w:color w:val="auto"/>
        </w:rPr>
        <w:t>. PricewaterhouseCoopers LLP, which has certified certain financial statements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is an independent registered public accounting firm with respect to the Company and its subsidiary, as applicable, within the applicable rules and regulations adopted by the Commission and the Public Company Accounting Oversight Board (United States) and as required by the Securities Act.</w:t>
      </w:r>
    </w:p>
    <w:p>
      <w:pPr>
        <w:spacing w:after="0" w:line="78" w:lineRule="exact"/>
        <w:rPr>
          <w:rFonts w:ascii="Arial" w:cs="Arial" w:eastAsia="Arial" w:hAnsi="Arial"/>
          <w:sz w:val="18"/>
          <w:szCs w:val="18"/>
          <w:color w:val="auto"/>
        </w:rPr>
      </w:pPr>
    </w:p>
    <w:p>
      <w:pPr>
        <w:ind w:left="4" w:right="40" w:firstLine="419"/>
        <w:spacing w:after="0" w:line="275" w:lineRule="auto"/>
        <w:tabs>
          <w:tab w:leader="none" w:pos="681"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 xml:space="preserve">Title to Real and Personal Property. </w:t>
      </w:r>
      <w:r>
        <w:rPr>
          <w:rFonts w:ascii="Arial" w:cs="Arial" w:eastAsia="Arial" w:hAnsi="Arial"/>
          <w:sz w:val="17"/>
          <w:szCs w:val="17"/>
          <w:color w:val="auto"/>
        </w:rPr>
        <w:t>The Company and its subsidiaries have good and marketable title in fee simple (in the case of real</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 or have valid rights to lease or otherwise use, all items of real and personal property that are material to the business of the Company and its subsidiaries,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individually or in the aggregate, to have a Material Adverse Effect.</w:t>
      </w:r>
    </w:p>
    <w:p>
      <w:pPr>
        <w:spacing w:after="0" w:line="68" w:lineRule="exact"/>
        <w:rPr>
          <w:rFonts w:ascii="Arial" w:cs="Arial" w:eastAsia="Arial" w:hAnsi="Arial"/>
          <w:sz w:val="17"/>
          <w:szCs w:val="17"/>
          <w:color w:val="auto"/>
        </w:rPr>
      </w:pPr>
    </w:p>
    <w:p>
      <w:pPr>
        <w:ind w:left="4" w:firstLine="419"/>
        <w:spacing w:after="0" w:line="283" w:lineRule="auto"/>
        <w:tabs>
          <w:tab w:leader="none" w:pos="721"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Except as described in the Registration Statement, the Pricing Disclosure Package and the Prospectus (i)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the Company and its subsidiaries own or have the right to use all patents, trademarks, service marks, trade names, domain names and other source indicators, copyrights, copyrightable works, know-how, trade secrets, systems, procedures, proprietary or confidential information and all other intellectual property, industrial property and proprietary and similar rights, and all registrations and applications for registration of, and all goodwill associated with, any of the foregoing (collectively, “Intellectual Property”) in each case necessary for the conduct of their respective businesses as conducted or proposed to be conducted in the Registration Statement, the Pricing Disclosure Package and the Prospectus; (ii) to the knowledge of the Company, the Company’s and its subsidiaries’ conduct of their respective businesses as currently conducted or as proposed to be conducted in the Registration Statement, the Pricing Disclosure Package or the Prospectus does not and will not infringe, misappropriate or otherwise violate, and has not infringed, misappropriated, or otherwise violated, any Intellectual Property of any third party, except as would not, individually or in the aggregate, reasonably be expected to have a Material Adverse Effect; (iii) there is no pending or, to the knowledge of the Company, threatened action, suit, proceeding or claim by any third party (x) challenging the Company’s or any of its subsidiaries’ rights in or to any of their owned or licensed Intellectual Property; (y) alleging that the Company or any of its subsidiaries have infringed, misappropriated or otherwise violated the Intellectual Property Rights of any third party, or (z) challenging the ownership, validity, scope or enforceability of any Intellectual Property owned by or licensed to the Company or any of its subsidiaries, and in the case of each of (x),</w:t>
      </w:r>
    </w:p>
    <w:p>
      <w:pPr>
        <w:spacing w:after="0" w:line="1" w:lineRule="exact"/>
        <w:rPr>
          <w:rFonts w:ascii="Arial" w:cs="Arial" w:eastAsia="Arial" w:hAnsi="Arial"/>
          <w:sz w:val="16"/>
          <w:szCs w:val="16"/>
          <w:color w:val="auto"/>
        </w:rPr>
      </w:pPr>
    </w:p>
    <w:p>
      <w:pPr>
        <w:ind w:left="4" w:right="140" w:hanging="4"/>
        <w:spacing w:after="0" w:line="252" w:lineRule="auto"/>
        <w:tabs>
          <w:tab w:leader="none" w:pos="2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and (z), the Company is unaware of any facts which would form a reasonable basis for any such action, suit, proceeding or claim; and (iv) to the knowledge of the Company, except as would not, individually or in the aggregate, reasonably be expected to have a Material Adverse Effect, all Intellectual Property owned by or licensed to the Company or any of its subsidiaries is valid and enforceable, is owned free and clear of all liens, encumbrances, defects and other restrictions by, or licensed or co-licensed to, the Company or its subsidiaries, and no third party has infringed, misappropriated or otherwise violated any Intellectual Property owned by or exclusively or co-exclusively licensed to the Company or any of its subsidiaries. Except as would not, individually or</w:t>
      </w:r>
    </w:p>
    <w:p>
      <w:pPr>
        <w:spacing w:after="0" w:line="12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94" w:name="page195"/>
    <w:bookmarkEnd w:id="194"/>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aggregate, reasonably be expected to have a Material Adverse Effect, the Company and its subsidiaries have at all times taken reasonable steps in accordance with normal industry practice to maintain the confidentiality of all Intellectual Property, the value of which to the Company or its subsidiaries is contingent upon maintaining the confidentiality thereof, including requiring employees, contractors, consultants and other third parties who receive such Intellectual Property to execute appropriate confidentiality agreements. To the knowledge of the Company, all current and former employees and consultants and other parties involved in the development of Intellectual Property for the Company or its subsidiaries have signed agreements with the Company or its subsidiaries, pursuant to which the Company or its subsidiaries either (A) have obtained, or have the right or option to obtain, ownership of and are the exclusive owners of such Intellectual Property, or (B) have obtained a valid right to exploit such Intellectual Property, sufficient for the conduct of their respective businesses as currently conducted or as proposed to be conducted in the Registration Statement, the Pricing Disclosure Package or the Prospectus.</w:t>
      </w:r>
    </w:p>
    <w:p>
      <w:pPr>
        <w:spacing w:after="0" w:line="58" w:lineRule="exact"/>
        <w:rPr>
          <w:sz w:val="20"/>
          <w:szCs w:val="20"/>
          <w:color w:val="auto"/>
        </w:rPr>
      </w:pPr>
    </w:p>
    <w:p>
      <w:pPr>
        <w:ind w:firstLine="419"/>
        <w:spacing w:after="0" w:line="259" w:lineRule="auto"/>
        <w:tabs>
          <w:tab w:leader="none" w:pos="678"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 xml:space="preserve">No Undisclosed Relationships. </w:t>
      </w:r>
      <w:r>
        <w:rPr>
          <w:rFonts w:ascii="Arial" w:cs="Arial" w:eastAsia="Arial" w:hAnsi="Arial"/>
          <w:sz w:val="18"/>
          <w:szCs w:val="18"/>
          <w:color w:val="auto"/>
        </w:rPr>
        <w:t>No relationship, direct or indirect, exists between or among the Company or any of its subsidiaries,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right="240" w:firstLine="419"/>
        <w:spacing w:after="0" w:line="301" w:lineRule="auto"/>
        <w:tabs>
          <w:tab w:leader="none" w:pos="678"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Investment Company Act. </w:t>
      </w:r>
      <w:r>
        <w:rPr>
          <w:rFonts w:ascii="Arial" w:cs="Arial" w:eastAsia="Arial" w:hAnsi="Arial"/>
          <w:sz w:val="16"/>
          <w:szCs w:val="16"/>
          <w:color w:val="auto"/>
        </w:rPr>
        <w:t>The Company is not and, immediately after giving effect to the offering and sale of the Shares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of the proceeds thereof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spacing w:after="0" w:line="49" w:lineRule="exact"/>
        <w:rPr>
          <w:rFonts w:ascii="Arial" w:cs="Arial" w:eastAsia="Arial" w:hAnsi="Arial"/>
          <w:sz w:val="16"/>
          <w:szCs w:val="16"/>
          <w:color w:val="auto"/>
        </w:rPr>
      </w:pPr>
    </w:p>
    <w:p>
      <w:pPr>
        <w:ind w:firstLine="419"/>
        <w:spacing w:after="0" w:line="291" w:lineRule="auto"/>
        <w:tabs>
          <w:tab w:leader="none" w:pos="667"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filed all federal, state, local and foreign tax returns required to be filed, and have paid all</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local and foreign taxes required to be paid through the date hereof, except in each case, as would not reasonably be expected to result in a Material Adverse Effect; and except as would not reasonably be expected to result in a Material Adverse Effect, there is no tax deficiency that has been, or would reasonably be expected to be, asserted against the Company or any of its subsidiaries or any of their respective properties or assets. The charges, accruals and reserves on the books of the Company in respect of any income and corporation tax liability for any years not finally determined are, in conformity with GAAP, adequate to meet any assessments or re-assessments for additional income tax for any years not finally determined, except to the extent of any inadequacies that would not reasonably be expected to result in a Material Adverse Effect.</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95" w:name="page196"/>
    <w:bookmarkEnd w:id="195"/>
    <w:p>
      <w:pPr>
        <w:ind w:left="4" w:firstLine="419"/>
        <w:spacing w:after="0" w:line="270" w:lineRule="auto"/>
        <w:tabs>
          <w:tab w:leader="none" w:pos="751"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Licenses and Permits. </w:t>
      </w:r>
      <w:r>
        <w:rPr>
          <w:rFonts w:ascii="Arial" w:cs="Arial" w:eastAsia="Arial" w:hAnsi="Arial"/>
          <w:sz w:val="17"/>
          <w:szCs w:val="17"/>
          <w:color w:val="auto"/>
        </w:rPr>
        <w:t>The Company and its subsidiaries possess all licenses, sub-licenses, certificates, permits and other authorizations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including, without limitation, from the U.S. Food and Drug Administration (“FDA”) except where the failure to possess or make the same would not, individually or in the aggregate, have a Material Adverse Effect; and neither the Company nor any of its subsidiaries has received notice of any revocation or modification of any such license, sub-license, certificate, permit or authorization or has any reason to believe that any such license, sub-license, certificate, permit or authorization will not be renewed in the ordinary course, except where the occurrence of such an event, individually or in the aggregate, could not reasonably be expected to result in a Material Adverse Effect.</w:t>
      </w:r>
    </w:p>
    <w:p>
      <w:pPr>
        <w:spacing w:after="0" w:line="72" w:lineRule="exact"/>
        <w:rPr>
          <w:rFonts w:ascii="Arial" w:cs="Arial" w:eastAsia="Arial" w:hAnsi="Arial"/>
          <w:sz w:val="17"/>
          <w:szCs w:val="17"/>
          <w:color w:val="auto"/>
        </w:rPr>
      </w:pPr>
    </w:p>
    <w:p>
      <w:pPr>
        <w:ind w:left="4" w:right="300" w:firstLine="419"/>
        <w:spacing w:after="0" w:line="301" w:lineRule="auto"/>
        <w:tabs>
          <w:tab w:leader="none" w:pos="771"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 xml:space="preserve">No Labor Disputes. </w:t>
      </w:r>
      <w:r>
        <w:rPr>
          <w:rFonts w:ascii="Arial" w:cs="Arial" w:eastAsia="Arial" w:hAnsi="Arial"/>
          <w:sz w:val="16"/>
          <w:szCs w:val="16"/>
          <w:color w:val="auto"/>
        </w:rPr>
        <w:t>No labor disturbance by or dispute with employees of the Company or any of its subsidiaries exists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is party to any collective bargaining agreement.</w:t>
      </w:r>
    </w:p>
    <w:p>
      <w:pPr>
        <w:spacing w:after="0" w:line="49" w:lineRule="exact"/>
        <w:rPr>
          <w:rFonts w:ascii="Arial" w:cs="Arial" w:eastAsia="Arial" w:hAnsi="Arial"/>
          <w:sz w:val="16"/>
          <w:szCs w:val="16"/>
          <w:color w:val="auto"/>
        </w:rPr>
      </w:pPr>
    </w:p>
    <w:p>
      <w:pPr>
        <w:ind w:left="4" w:right="40" w:firstLine="419"/>
        <w:spacing w:after="0" w:line="283" w:lineRule="auto"/>
        <w:tabs>
          <w:tab w:leader="none" w:pos="751"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Certain Environmental Matters</w:t>
      </w:r>
      <w:r>
        <w:rPr>
          <w:rFonts w:ascii="Arial" w:cs="Arial" w:eastAsia="Arial" w:hAnsi="Arial"/>
          <w:sz w:val="16"/>
          <w:szCs w:val="16"/>
          <w:color w:val="auto"/>
        </w:rPr>
        <w:t>. (i) The Company and its subsidiaries (x) are in compliance with all, and have not violated any,</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“Environmental Laws”); (y) have received and are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could reasonably be expected to result in any such notice, and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by the Company to be contemplated, against the Company or any of its subsidiaries under any Environmental Laws in which a governmental entity is also a party, other than such proceeding regarding which the Company reasonably believes no monetary sanctions of $100,000 or more will be imposed,</w:t>
      </w:r>
    </w:p>
    <w:p>
      <w:pPr>
        <w:spacing w:after="0" w:line="1" w:lineRule="exact"/>
        <w:rPr>
          <w:rFonts w:ascii="Arial" w:cs="Arial" w:eastAsia="Arial" w:hAnsi="Arial"/>
          <w:sz w:val="16"/>
          <w:szCs w:val="16"/>
          <w:color w:val="auto"/>
        </w:rPr>
      </w:pPr>
    </w:p>
    <w:p>
      <w:pPr>
        <w:ind w:left="4" w:right="20" w:hanging="4"/>
        <w:spacing w:after="0" w:line="253" w:lineRule="auto"/>
        <w:tabs>
          <w:tab w:leader="none" w:pos="2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its subsidiaries are not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and (z) none of the Company or its subsidiaries anticipates material capital expenditures relating to any Environmental Laws.</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196" w:name="page197"/>
    <w:bookmarkEnd w:id="196"/>
    <w:p>
      <w:pPr>
        <w:ind w:right="20" w:firstLine="419"/>
        <w:spacing w:after="0" w:line="266" w:lineRule="auto"/>
        <w:tabs>
          <w:tab w:leader="none" w:pos="768"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Compliance with ERISA</w:t>
      </w:r>
      <w:r>
        <w:rPr>
          <w:rFonts w:ascii="Arial" w:cs="Arial" w:eastAsia="Arial" w:hAnsi="Arial"/>
          <w:sz w:val="17"/>
          <w:szCs w:val="17"/>
          <w:color w:val="auto"/>
        </w:rPr>
        <w:t>. (i) Each employee benefit plan, within the meaning of Section 3(3) of the Employee Retirement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 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individually or in the aggregate, have a Material Adverse Effect.</w:t>
      </w:r>
    </w:p>
    <w:p>
      <w:pPr>
        <w:spacing w:after="0" w:line="91" w:lineRule="exact"/>
        <w:rPr>
          <w:rFonts w:ascii="Arial" w:cs="Arial" w:eastAsia="Arial" w:hAnsi="Arial"/>
          <w:sz w:val="17"/>
          <w:szCs w:val="17"/>
          <w:color w:val="auto"/>
        </w:rPr>
      </w:pPr>
    </w:p>
    <w:p>
      <w:pPr>
        <w:ind w:firstLine="419"/>
        <w:spacing w:after="0" w:line="263" w:lineRule="auto"/>
        <w:tabs>
          <w:tab w:leader="none" w:pos="747"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and its subsidiaries maintain an effective system of “disclosure controls and procedures”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in Rule 13a-15(e) of the Exchange Act) that complies with the requirements of the Exchange Act and that has been designed to ensure that information required to be disclosed by the Company in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97" w:name="page198"/>
    <w:bookmarkEnd w:id="197"/>
    <w:p>
      <w:pPr>
        <w:ind w:left="4"/>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49" w:lineRule="exact"/>
        <w:rPr>
          <w:sz w:val="20"/>
          <w:szCs w:val="20"/>
          <w:color w:val="auto"/>
        </w:rPr>
      </w:pPr>
    </w:p>
    <w:p>
      <w:pPr>
        <w:ind w:left="4" w:right="220" w:firstLine="419"/>
        <w:spacing w:after="0" w:line="285" w:lineRule="auto"/>
        <w:tabs>
          <w:tab w:leader="none" w:pos="708" w:val="left"/>
        </w:tabs>
        <w:numPr>
          <w:ilvl w:val="1"/>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and its subsidiaries maintain systems of “internal control over financial reporting”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Rule 13a-15(f) of the Exchange Act) that are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w:t>
      </w:r>
    </w:p>
    <w:p>
      <w:pPr>
        <w:spacing w:after="0" w:line="1" w:lineRule="exact"/>
        <w:rPr>
          <w:rFonts w:ascii="Arial" w:cs="Arial" w:eastAsia="Arial" w:hAnsi="Arial"/>
          <w:sz w:val="16"/>
          <w:szCs w:val="16"/>
          <w:color w:val="auto"/>
        </w:rPr>
      </w:pPr>
    </w:p>
    <w:p>
      <w:pPr>
        <w:ind w:left="4" w:right="40" w:hanging="4"/>
        <w:spacing w:after="0" w:line="281" w:lineRule="auto"/>
        <w:tabs>
          <w:tab w:leader="none" w:pos="21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material assets, individually or in the aggregate, is compared with the existing assets at reasonable intervals and appropriate action is taken with respect to any differences and</w:t>
      </w:r>
    </w:p>
    <w:p>
      <w:pPr>
        <w:spacing w:after="0" w:line="2" w:lineRule="exact"/>
        <w:rPr>
          <w:rFonts w:ascii="Arial" w:cs="Arial" w:eastAsia="Arial" w:hAnsi="Arial"/>
          <w:sz w:val="16"/>
          <w:szCs w:val="16"/>
          <w:color w:val="auto"/>
        </w:rPr>
      </w:pPr>
    </w:p>
    <w:p>
      <w:pPr>
        <w:ind w:left="4" w:hanging="4"/>
        <w:spacing w:after="0" w:line="288" w:lineRule="auto"/>
        <w:tabs>
          <w:tab w:leader="none" w:pos="25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There are no material weaknesses in the Company’s internal controls. The Company’s auditors and the Audit Committee of the Board of Directors of the Company have been advised of: (x) all significant deficiencies and material weaknesses, if any, in the design or operation of internal controls over financial reporting which have adversely affected or are reasonably likely to adversely affect the Company’s ability to record, process, summarize and report financial information; and (y) any fraud, whether or not material, that involves management or other employees who have a significant role in the Company’s internal controls over financial reporting.</w:t>
      </w:r>
    </w:p>
    <w:p>
      <w:pPr>
        <w:spacing w:after="0" w:line="60" w:lineRule="exact"/>
        <w:rPr>
          <w:rFonts w:ascii="Arial" w:cs="Arial" w:eastAsia="Arial" w:hAnsi="Arial"/>
          <w:sz w:val="16"/>
          <w:szCs w:val="16"/>
          <w:color w:val="auto"/>
        </w:rPr>
      </w:pPr>
    </w:p>
    <w:p>
      <w:pPr>
        <w:jc w:val="both"/>
        <w:ind w:left="4" w:right="80" w:firstLine="419"/>
        <w:spacing w:after="0" w:line="263" w:lineRule="auto"/>
        <w:tabs>
          <w:tab w:leader="none" w:pos="771" w:val="left"/>
        </w:tabs>
        <w:numPr>
          <w:ilvl w:val="1"/>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eXtensible Business Reporting Language. </w:t>
      </w:r>
      <w:r>
        <w:rPr>
          <w:rFonts w:ascii="Arial" w:cs="Arial" w:eastAsia="Arial" w:hAnsi="Arial"/>
          <w:sz w:val="18"/>
          <w:szCs w:val="18"/>
          <w:color w:val="auto"/>
        </w:rPr>
        <w:t>The interactive data in eXtensible Business Reporting Language included or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left="4" w:right="60" w:firstLine="419"/>
        <w:spacing w:after="0" w:line="311" w:lineRule="auto"/>
        <w:tabs>
          <w:tab w:leader="none" w:pos="771" w:val="left"/>
        </w:tabs>
        <w:numPr>
          <w:ilvl w:val="1"/>
          <w:numId w:val="121"/>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w:t>
      </w:r>
    </w:p>
    <w:p>
      <w:pPr>
        <w:spacing w:after="0" w:line="8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198" w:name="page199"/>
    <w:bookmarkEnd w:id="19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79" w:lineRule="exact"/>
        <w:rPr>
          <w:sz w:val="20"/>
          <w:szCs w:val="20"/>
          <w:color w:val="auto"/>
        </w:rPr>
      </w:pPr>
    </w:p>
    <w:p>
      <w:pPr>
        <w:ind w:right="40" w:firstLine="419"/>
        <w:spacing w:after="0" w:line="286" w:lineRule="auto"/>
        <w:tabs>
          <w:tab w:leader="none" w:pos="688"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Cybersecurity; Data Protection. </w:t>
      </w:r>
      <w:r>
        <w:rPr>
          <w:rFonts w:ascii="Arial" w:cs="Arial" w:eastAsia="Arial" w:hAnsi="Arial"/>
          <w:sz w:val="16"/>
          <w:szCs w:val="16"/>
          <w:color w:val="auto"/>
        </w:rPr>
        <w:t>The information technology assets and equipment, computers, systems, networks, hardware,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websites, applications, and databases owned or used by the Company or its subsidiaries (collectively, “IT Systems”), to the knowledge of the Company,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collected, used, stored or processed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or entity, nor any incidents under internal review or investigations relating to the same. Except as would not reasonably be expected, individually or in the aggregate, to have a Material Adverse Effect, the Company and its subsidiaries are presently in compliance with all applicable laws or statutes and all applicable judgments, orders, rules and regulations of any court or arbitrator or governmental or regulatory authority, as well as applicable internal policies and contractual obligations of the Company or its subsidiaries, relating to the privacy and security of IT Systems and Personal Data and to the protection of such IT Systems and Personal Data from unauthorized use, access, misappropriation or modification.</w:t>
      </w:r>
    </w:p>
    <w:p>
      <w:pPr>
        <w:spacing w:after="0" w:line="278" w:lineRule="exact"/>
        <w:rPr>
          <w:rFonts w:ascii="Arial" w:cs="Arial" w:eastAsia="Arial" w:hAnsi="Arial"/>
          <w:sz w:val="16"/>
          <w:szCs w:val="16"/>
          <w:color w:val="auto"/>
        </w:rPr>
      </w:pPr>
    </w:p>
    <w:p>
      <w:pPr>
        <w:ind w:firstLine="419"/>
        <w:spacing w:after="0" w:line="289" w:lineRule="auto"/>
        <w:tabs>
          <w:tab w:leader="none" w:pos="688"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w:t>
      </w:r>
      <w:r>
        <w:rPr>
          <w:rFonts w:ascii="Arial" w:cs="Arial" w:eastAsia="Arial" w:hAnsi="Arial"/>
          <w:sz w:val="16"/>
          <w:szCs w:val="16"/>
          <w:i w:val="1"/>
          <w:iCs w:val="1"/>
          <w:color w:val="auto"/>
        </w:rPr>
        <w:t xml:space="preserve"> </w:t>
      </w:r>
      <w:r>
        <w:rPr>
          <w:rFonts w:ascii="Arial" w:cs="Arial" w:eastAsia="Arial" w:hAnsi="Arial"/>
          <w:sz w:val="16"/>
          <w:szCs w:val="16"/>
          <w:color w:val="auto"/>
        </w:rPr>
        <w:t>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199" w:name="page200"/>
    <w:bookmarkEnd w:id="199"/>
    <w:p>
      <w:pPr>
        <w:ind w:left="4"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79" w:lineRule="exact"/>
        <w:rPr>
          <w:sz w:val="20"/>
          <w:szCs w:val="20"/>
          <w:color w:val="auto"/>
        </w:rPr>
      </w:pPr>
    </w:p>
    <w:p>
      <w:pPr>
        <w:ind w:left="4" w:firstLine="419"/>
        <w:spacing w:after="0" w:line="272" w:lineRule="auto"/>
        <w:tabs>
          <w:tab w:leader="none" w:pos="771" w:val="left"/>
        </w:tabs>
        <w:numPr>
          <w:ilvl w:val="1"/>
          <w:numId w:val="123"/>
        </w:numPr>
        <w:rPr>
          <w:rFonts w:ascii="Arial" w:cs="Arial" w:eastAsia="Arial" w:hAnsi="Arial"/>
          <w:sz w:val="17"/>
          <w:szCs w:val="17"/>
          <w:color w:val="auto"/>
        </w:rPr>
      </w:pPr>
      <w:r>
        <w:rPr>
          <w:rFonts w:ascii="Arial" w:cs="Arial" w:eastAsia="Arial" w:hAnsi="Arial"/>
          <w:sz w:val="17"/>
          <w:szCs w:val="17"/>
          <w:i w:val="1"/>
          <w:iCs w:val="1"/>
          <w:color w:val="auto"/>
        </w:rPr>
        <w:t>Compliance with Anti-Money Laundering Laws</w:t>
      </w:r>
      <w:r>
        <w:rPr>
          <w:rFonts w:ascii="Arial" w:cs="Arial" w:eastAsia="Arial" w:hAnsi="Arial"/>
          <w:sz w:val="17"/>
          <w:szCs w:val="17"/>
          <w:color w:val="auto"/>
        </w:rPr>
        <w:t>. The operations of the Company and its subsidiaries are and have been conducted at all</w:t>
      </w:r>
      <w:r>
        <w:rPr>
          <w:rFonts w:ascii="Arial" w:cs="Arial" w:eastAsia="Arial" w:hAnsi="Arial"/>
          <w:sz w:val="17"/>
          <w:szCs w:val="17"/>
          <w:i w:val="1"/>
          <w:iCs w:val="1"/>
          <w:color w:val="auto"/>
        </w:rPr>
        <w:t xml:space="preserve"> </w:t>
      </w:r>
      <w:r>
        <w:rPr>
          <w:rFonts w:ascii="Arial" w:cs="Arial" w:eastAsia="Arial" w:hAnsi="Arial"/>
          <w:sz w:val="17"/>
          <w:szCs w:val="17"/>
          <w:color w:val="auto"/>
        </w:rPr>
        <w:t>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69" w:lineRule="exact"/>
        <w:rPr>
          <w:rFonts w:ascii="Arial" w:cs="Arial" w:eastAsia="Arial" w:hAnsi="Arial"/>
          <w:sz w:val="17"/>
          <w:szCs w:val="17"/>
          <w:color w:val="auto"/>
        </w:rPr>
      </w:pPr>
    </w:p>
    <w:p>
      <w:pPr>
        <w:ind w:left="4" w:right="140" w:firstLine="419"/>
        <w:spacing w:after="0" w:line="283" w:lineRule="auto"/>
        <w:tabs>
          <w:tab w:leader="none" w:pos="691" w:val="left"/>
        </w:tabs>
        <w:numPr>
          <w:ilvl w:val="1"/>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nor is the Company or any of its subsidiaries located, organized or resident in a country or territory that is the subject or target of Sanctions, including, without limitation, Crimea, Cuba, Iran, North Korea and Syria (each, a “Sanctioned Country”); and the Company will not directly or indirectly use the proceeds of the offering of the Shares hereunder, or lend, contribute or otherwise make available such proceeds to any subsidiary, joint venture partner or other person or entity</w:t>
      </w:r>
    </w:p>
    <w:p>
      <w:pPr>
        <w:spacing w:after="0" w:line="5" w:lineRule="exact"/>
        <w:rPr>
          <w:rFonts w:ascii="Arial" w:cs="Arial" w:eastAsia="Arial" w:hAnsi="Arial"/>
          <w:sz w:val="16"/>
          <w:szCs w:val="16"/>
          <w:color w:val="auto"/>
        </w:rPr>
      </w:pPr>
    </w:p>
    <w:p>
      <w:pPr>
        <w:ind w:left="4" w:right="20" w:hanging="4"/>
        <w:spacing w:after="0" w:line="252" w:lineRule="auto"/>
        <w:tabs>
          <w:tab w:leader="none" w:pos="2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incorporation,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26"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4"/>
          </w:cols>
          <w:pgMar w:left="876" w:top="274" w:right="479" w:bottom="1440" w:gutter="0" w:footer="0" w:header="0"/>
        </w:sectPr>
      </w:pPr>
    </w:p>
    <w:bookmarkStart w:id="200" w:name="page201"/>
    <w:bookmarkEnd w:id="200"/>
    <w:p>
      <w:pPr>
        <w:ind w:right="120" w:firstLine="419"/>
        <w:spacing w:after="0" w:line="301" w:lineRule="auto"/>
        <w:tabs>
          <w:tab w:leader="none" w:pos="868"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Restrictions on Subsidiaries</w:t>
      </w:r>
      <w:r>
        <w:rPr>
          <w:rFonts w:ascii="Arial" w:cs="Arial" w:eastAsia="Arial" w:hAnsi="Arial"/>
          <w:sz w:val="16"/>
          <w:szCs w:val="16"/>
          <w:color w:val="auto"/>
        </w:rPr>
        <w:t>. No subsidiary of the Company is currently prohibited, directly or indirectly, under any agreement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49" w:lineRule="exact"/>
        <w:rPr>
          <w:rFonts w:ascii="Arial" w:cs="Arial" w:eastAsia="Arial" w:hAnsi="Arial"/>
          <w:sz w:val="16"/>
          <w:szCs w:val="16"/>
          <w:color w:val="auto"/>
        </w:rPr>
      </w:pPr>
    </w:p>
    <w:p>
      <w:pPr>
        <w:jc w:val="both"/>
        <w:ind w:right="440" w:firstLine="419"/>
        <w:spacing w:after="0" w:line="263"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jc w:val="both"/>
        <w:ind w:firstLine="419"/>
        <w:spacing w:after="0" w:line="263"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No Registration Rights</w:t>
      </w:r>
      <w:r>
        <w:rPr>
          <w:rFonts w:ascii="Arial" w:cs="Arial" w:eastAsia="Arial" w:hAnsi="Arial"/>
          <w:sz w:val="18"/>
          <w:szCs w:val="18"/>
          <w:color w:val="auto"/>
        </w:rPr>
        <w:t>. No person has the right to require the Company or any of its subsidiaries to register any securities for sale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Act by reason of the filing of the Registration Statement with the Commission or the issuance and sale of the Shares, except for such rights as have been duly waived.</w:t>
      </w:r>
    </w:p>
    <w:p>
      <w:pPr>
        <w:spacing w:after="0" w:line="75" w:lineRule="exact"/>
        <w:rPr>
          <w:rFonts w:ascii="Arial" w:cs="Arial" w:eastAsia="Arial" w:hAnsi="Arial"/>
          <w:sz w:val="18"/>
          <w:szCs w:val="18"/>
          <w:color w:val="auto"/>
        </w:rPr>
      </w:pPr>
    </w:p>
    <w:p>
      <w:pPr>
        <w:jc w:val="both"/>
        <w:ind w:right="40" w:firstLine="419"/>
        <w:spacing w:after="0" w:line="263"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any of its subsidiaries or, to the Company’s knowledge, other affiliates has taken,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without giving effect to activities by the Underwriters, any action designed to or that could reasonably be expected to cause or result in any stabilization or manipulation of the price of the Shares.</w:t>
      </w:r>
    </w:p>
    <w:p>
      <w:pPr>
        <w:spacing w:after="0" w:line="75" w:lineRule="exact"/>
        <w:rPr>
          <w:rFonts w:ascii="Arial" w:cs="Arial" w:eastAsia="Arial" w:hAnsi="Arial"/>
          <w:sz w:val="18"/>
          <w:szCs w:val="18"/>
          <w:color w:val="auto"/>
        </w:rPr>
      </w:pPr>
    </w:p>
    <w:p>
      <w:pPr>
        <w:ind w:right="60" w:firstLine="419"/>
        <w:spacing w:after="0" w:line="263" w:lineRule="auto"/>
        <w:tabs>
          <w:tab w:leader="none" w:pos="768"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Margin Rules</w:t>
      </w:r>
      <w:r>
        <w:rPr>
          <w:rFonts w:ascii="Arial" w:cs="Arial" w:eastAsia="Arial" w:hAnsi="Arial"/>
          <w:sz w:val="18"/>
          <w:szCs w:val="18"/>
          <w:color w:val="auto"/>
        </w:rPr>
        <w:t>. Neither the issuance, sale and delivery of the Shares nor the application of the proceeds thereof by the Company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each of the Registration Statement, the Pricing Disclosure Package and the Prospectus will violate Regulation T, U or X of the Board of Governors of the Federal Reserve System or any other regulation of such Board of Governors.</w:t>
      </w:r>
    </w:p>
    <w:p>
      <w:pPr>
        <w:spacing w:after="0" w:line="75" w:lineRule="exact"/>
        <w:rPr>
          <w:rFonts w:ascii="Arial" w:cs="Arial" w:eastAsia="Arial" w:hAnsi="Arial"/>
          <w:sz w:val="18"/>
          <w:szCs w:val="18"/>
          <w:color w:val="auto"/>
        </w:rPr>
      </w:pPr>
    </w:p>
    <w:p>
      <w:pPr>
        <w:ind w:right="20" w:firstLine="419"/>
        <w:spacing w:after="0" w:line="263" w:lineRule="auto"/>
        <w:tabs>
          <w:tab w:leader="none" w:pos="708"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Exchange Act) included or incorporated by reference in any of the Registration Statement, the Pricing Disclosure Package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40" w:firstLine="419"/>
        <w:spacing w:after="0" w:line="286" w:lineRule="auto"/>
        <w:tabs>
          <w:tab w:leader="none" w:pos="728"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Statistical and Market Data. </w:t>
      </w:r>
      <w:r>
        <w:rPr>
          <w:rFonts w:ascii="Arial" w:cs="Arial" w:eastAsia="Arial" w:hAnsi="Arial"/>
          <w:sz w:val="17"/>
          <w:szCs w:val="17"/>
          <w:color w:val="auto"/>
        </w:rPr>
        <w:t>Nothing has come to the attention of the Company that has caused the Company to believe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statistical and market-related data included or incorporated by reference in each of the Registration Statement, the Pricing Disclosure Package and the Prospectus is not based on or derived from sources that are reliable and accurate in all material respects.</w:t>
      </w:r>
    </w:p>
    <w:p>
      <w:pPr>
        <w:spacing w:after="0" w:line="57" w:lineRule="exact"/>
        <w:rPr>
          <w:rFonts w:ascii="Arial" w:cs="Arial" w:eastAsia="Arial" w:hAnsi="Arial"/>
          <w:sz w:val="17"/>
          <w:szCs w:val="17"/>
          <w:color w:val="auto"/>
        </w:rPr>
      </w:pPr>
    </w:p>
    <w:p>
      <w:pPr>
        <w:ind w:right="140" w:firstLine="419"/>
        <w:spacing w:after="0" w:line="296" w:lineRule="auto"/>
        <w:tabs>
          <w:tab w:leader="none" w:pos="688"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 xml:space="preserve">Clinical Trials. </w:t>
      </w:r>
      <w:r>
        <w:rPr>
          <w:rFonts w:ascii="Arial" w:cs="Arial" w:eastAsia="Arial" w:hAnsi="Arial"/>
          <w:sz w:val="16"/>
          <w:szCs w:val="16"/>
          <w:color w:val="auto"/>
        </w:rPr>
        <w:t>The clinical and pre-clinical trials conducted by or on behalf of or sponsored by the Company or any of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or in which the Company or any of its subsidiaries has participated, that are described in the Registration Statement, the Pricing Disclosure Package and the Prospectus, or the results of which are referred to in the Registration Statement, the Pricing Disclosure Package and the Prospectus, as applicable, were, and if still pending are, being conducted in all material respects in accordance with standard medical and scientific research standards and all applicable statutes, rules and regulations of the FDA and other applicable regulatory</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60"/>
          </w:cols>
          <w:pgMar w:left="880" w:top="274" w:right="459" w:bottom="1440" w:gutter="0" w:footer="0" w:header="0"/>
        </w:sectPr>
      </w:pPr>
    </w:p>
    <w:bookmarkStart w:id="201" w:name="page202"/>
    <w:bookmarkEnd w:id="2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authorities (collectively, the “Regulatory Authorities”) and current Good Clinical Practices and Good Laboratory Practices; the descriptions in the Registration Statement, the Pricing Disclosure Package and the Prospectus of the results of such studies and tests are accurate and complete in all material respects and fairly present the data derived from such trials; neither the Company nor any of its subsidiaries has any knowledge of any other trials, the results of which are inconsistent with or call into question the results described or referred to in the Registration Statement, the Pricing Disclosure Package or the Prospectus; the Company and each of its subsidiaries have operated at all times and are currently in compliance in all material respects with all applicable statutes, rules and regulations of the Regulatory Authorities; neither the Company nor any of its subsidiaries has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the Pricing Disclosure Package and the Prospectus or the results of which are referred to in the Registration Statement, the Pricing Disclosure Package and the Prospectus, and, to the best knowledge of the Company and its subsidiaries, there are no reasonable grounds for the same.</w:t>
      </w:r>
    </w:p>
    <w:p>
      <w:pPr>
        <w:spacing w:after="0" w:line="74" w:lineRule="exact"/>
        <w:rPr>
          <w:sz w:val="20"/>
          <w:szCs w:val="20"/>
          <w:color w:val="auto"/>
        </w:rPr>
      </w:pPr>
    </w:p>
    <w:p>
      <w:pPr>
        <w:ind w:right="220" w:firstLine="419"/>
        <w:spacing w:after="0" w:line="279" w:lineRule="auto"/>
        <w:tabs>
          <w:tab w:leader="none" w:pos="768"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 xml:space="preserve">Regulatory Filings. </w:t>
      </w:r>
      <w:r>
        <w:rPr>
          <w:rFonts w:ascii="Arial" w:cs="Arial" w:eastAsia="Arial" w:hAnsi="Arial"/>
          <w:sz w:val="17"/>
          <w:szCs w:val="17"/>
          <w:color w:val="auto"/>
        </w:rPr>
        <w:t>Neither the Company nor any of its subsidiaries has failed to file with the applicable Regulatory Authorities any</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filing, declaration, listing, registration, report or submission; all such filings, declarations, listings, registrations, reports or submissions were in material compliance with applicable laws when filed; and no material deficiencies have been asserted by any applicable Regulatory Authority with respect to any such filings, declarations, listings, registrations, reports or submissions.</w:t>
      </w:r>
    </w:p>
    <w:p>
      <w:pPr>
        <w:spacing w:after="0" w:line="63" w:lineRule="exact"/>
        <w:rPr>
          <w:rFonts w:ascii="Arial" w:cs="Arial" w:eastAsia="Arial" w:hAnsi="Arial"/>
          <w:sz w:val="17"/>
          <w:szCs w:val="17"/>
          <w:color w:val="auto"/>
        </w:rPr>
      </w:pPr>
    </w:p>
    <w:p>
      <w:pPr>
        <w:ind w:right="60" w:firstLine="419"/>
        <w:spacing w:after="0" w:line="311" w:lineRule="auto"/>
        <w:tabs>
          <w:tab w:leader="none" w:pos="768"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Sarbanes-Oxley Act</w:t>
      </w:r>
      <w:r>
        <w:rPr>
          <w:rFonts w:ascii="Arial" w:cs="Arial" w:eastAsia="Arial" w:hAnsi="Arial"/>
          <w:sz w:val="16"/>
          <w:szCs w:val="16"/>
          <w:color w:val="auto"/>
        </w:rPr>
        <w:t>. There is and has been no failure on the part of the Company or any of the Company’s directors or officers,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40" w:lineRule="exact"/>
        <w:rPr>
          <w:rFonts w:ascii="Arial" w:cs="Arial" w:eastAsia="Arial" w:hAnsi="Arial"/>
          <w:sz w:val="16"/>
          <w:szCs w:val="16"/>
          <w:color w:val="auto"/>
        </w:rPr>
      </w:pPr>
    </w:p>
    <w:p>
      <w:pPr>
        <w:ind w:firstLine="419"/>
        <w:spacing w:after="0" w:line="275" w:lineRule="auto"/>
        <w:tabs>
          <w:tab w:leader="none" w:pos="848"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Status under the Securities Act</w:t>
      </w:r>
      <w:r>
        <w:rPr>
          <w:rFonts w:ascii="Arial" w:cs="Arial" w:eastAsia="Arial" w:hAnsi="Arial"/>
          <w:sz w:val="17"/>
          <w:szCs w:val="17"/>
          <w:color w:val="auto"/>
        </w:rPr>
        <w:t>. At the time of filing the Registration Statement and any post-effective amendment thereto,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earliest time thereafter that the Company or any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under the Securities Act) of the Shares and at the date hereof, the Company was not and is not an “ineligible issuer,” as defined in Rule 405 under the Securities Act. The Company has paid the registration fee for this offering pursuant to Rule 456(b)(1) under the Securities Act or will pay such fee within the time period required by such rule (without giving effect to the proviso therein) and in any event prior to the Closing Date.</w:t>
      </w:r>
    </w:p>
    <w:p>
      <w:pPr>
        <w:spacing w:after="0" w:line="68" w:lineRule="exact"/>
        <w:rPr>
          <w:rFonts w:ascii="Arial" w:cs="Arial" w:eastAsia="Arial" w:hAnsi="Arial"/>
          <w:sz w:val="17"/>
          <w:szCs w:val="17"/>
          <w:color w:val="auto"/>
        </w:rPr>
      </w:pPr>
    </w:p>
    <w:p>
      <w:pPr>
        <w:ind w:right="360" w:firstLine="419"/>
        <w:spacing w:after="0" w:line="263" w:lineRule="auto"/>
        <w:tabs>
          <w:tab w:leader="none" w:pos="768"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No Ratings</w:t>
      </w:r>
      <w:r>
        <w:rPr>
          <w:rFonts w:ascii="Arial" w:cs="Arial" w:eastAsia="Arial" w:hAnsi="Arial"/>
          <w:sz w:val="18"/>
          <w:szCs w:val="18"/>
          <w:color w:val="auto"/>
        </w:rPr>
        <w:t>. There are (and prior to the Closing Date, will be) no debt securities, convertible securities or preferred stock issued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the Company or any of its subsidiaries that are rated by a “nationally recognized statistical rating organization”, as such term is defined in Section 3(a)(62) under the Exchange Act.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02" w:name="page203"/>
    <w:bookmarkEnd w:id="202"/>
    <w:p>
      <w:pPr>
        <w:ind w:left="184" w:hanging="184"/>
        <w:spacing w:after="0"/>
        <w:tabs>
          <w:tab w:leader="none" w:pos="184"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left="4" w:right="100" w:firstLine="419"/>
        <w:spacing w:after="0" w:line="257" w:lineRule="auto"/>
        <w:tabs>
          <w:tab w:leader="none" w:pos="671"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Required Filings. </w:t>
      </w:r>
      <w:r>
        <w:rPr>
          <w:rFonts w:ascii="Arial" w:cs="Arial" w:eastAsia="Arial" w:hAnsi="Arial"/>
          <w:sz w:val="18"/>
          <w:szCs w:val="18"/>
          <w:color w:val="auto"/>
        </w:rPr>
        <w:t>The Company will file the final Prospectus with the Commission within the time periods specified by Rule 424(b) and</w:t>
      </w:r>
      <w:r>
        <w:rPr>
          <w:rFonts w:ascii="Arial" w:cs="Arial" w:eastAsia="Arial" w:hAnsi="Arial"/>
          <w:sz w:val="18"/>
          <w:szCs w:val="18"/>
          <w:i w:val="1"/>
          <w:iCs w:val="1"/>
          <w:color w:val="auto"/>
        </w:rPr>
        <w:t xml:space="preserve"> </w:t>
      </w:r>
      <w:r>
        <w:rPr>
          <w:rFonts w:ascii="Arial" w:cs="Arial" w:eastAsia="Arial" w:hAnsi="Arial"/>
          <w:sz w:val="18"/>
          <w:szCs w:val="18"/>
          <w:color w:val="auto"/>
        </w:rPr>
        <w:t>Rule 430A, 430B or 430C under the Securities Act, and will file any Issuer Free Writing Prospectus to the extent required by Rule 433 under the Securities Act; and the Company will furnish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79" w:lineRule="exact"/>
        <w:rPr>
          <w:rFonts w:ascii="Arial" w:cs="Arial" w:eastAsia="Arial" w:hAnsi="Arial"/>
          <w:sz w:val="18"/>
          <w:szCs w:val="18"/>
          <w:color w:val="auto"/>
        </w:rPr>
      </w:pPr>
    </w:p>
    <w:p>
      <w:pPr>
        <w:ind w:left="4" w:right="100" w:firstLine="419"/>
        <w:spacing w:after="0" w:line="253" w:lineRule="auto"/>
        <w:tabs>
          <w:tab w:leader="none" w:pos="681"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Delivery of Copies. </w:t>
      </w:r>
      <w:r>
        <w:rPr>
          <w:rFonts w:ascii="Arial" w:cs="Arial" w:eastAsia="Arial" w:hAnsi="Arial"/>
          <w:sz w:val="18"/>
          <w:szCs w:val="18"/>
          <w:color w:val="auto"/>
        </w:rPr>
        <w:t>The Company will deliver, without charge, (i) to the Representatives, five signed copies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as originally filed and each amendment thereto, in each case including all exhibits and consents filed therewith and documents incorporated by reference therein;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88" w:lineRule="exact"/>
        <w:rPr>
          <w:rFonts w:ascii="Arial" w:cs="Arial" w:eastAsia="Arial" w:hAnsi="Arial"/>
          <w:sz w:val="18"/>
          <w:szCs w:val="18"/>
          <w:color w:val="auto"/>
        </w:rPr>
      </w:pPr>
    </w:p>
    <w:p>
      <w:pPr>
        <w:ind w:left="4" w:right="80" w:firstLine="419"/>
        <w:spacing w:after="0" w:line="296" w:lineRule="auto"/>
        <w:tabs>
          <w:tab w:leader="none" w:pos="671"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Amendments or Supplements, Issuer Free Writing Prospectuses. </w:t>
      </w:r>
      <w:r>
        <w:rPr>
          <w:rFonts w:ascii="Arial" w:cs="Arial" w:eastAsia="Arial" w:hAnsi="Arial"/>
          <w:sz w:val="16"/>
          <w:szCs w:val="16"/>
          <w:color w:val="auto"/>
        </w:rPr>
        <w:t>Before making, preparing, using, authorizing, approving,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any Issuer 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w:t>
      </w:r>
    </w:p>
    <w:p>
      <w:pPr>
        <w:spacing w:after="0" w:line="53" w:lineRule="exact"/>
        <w:rPr>
          <w:rFonts w:ascii="Arial" w:cs="Arial" w:eastAsia="Arial" w:hAnsi="Arial"/>
          <w:sz w:val="16"/>
          <w:szCs w:val="16"/>
          <w:color w:val="auto"/>
        </w:rPr>
      </w:pPr>
    </w:p>
    <w:p>
      <w:pPr>
        <w:ind w:left="4" w:firstLine="419"/>
        <w:spacing w:after="0" w:line="293" w:lineRule="auto"/>
        <w:tabs>
          <w:tab w:leader="none" w:pos="681" w:val="left"/>
        </w:tabs>
        <w:numPr>
          <w:ilvl w:val="1"/>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(which may be</w:t>
      </w:r>
      <w:r>
        <w:rPr>
          <w:rFonts w:ascii="Arial" w:cs="Arial" w:eastAsia="Arial" w:hAnsi="Arial"/>
          <w:sz w:val="16"/>
          <w:szCs w:val="16"/>
          <w:i w:val="1"/>
          <w:iCs w:val="1"/>
          <w:color w:val="auto"/>
        </w:rPr>
        <w:t xml:space="preserve"> </w:t>
      </w:r>
      <w:r>
        <w:rPr>
          <w:rFonts w:ascii="Arial" w:cs="Arial" w:eastAsia="Arial" w:hAnsi="Arial"/>
          <w:sz w:val="16"/>
          <w:szCs w:val="16"/>
          <w:color w:val="auto"/>
        </w:rPr>
        <w:t>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w:t>
      </w:r>
    </w:p>
    <w:p>
      <w:pPr>
        <w:spacing w:after="0" w:line="9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876" w:top="274" w:right="439" w:bottom="1440" w:gutter="0" w:footer="0" w:header="0"/>
        </w:sectPr>
      </w:pPr>
    </w:p>
    <w:bookmarkStart w:id="203" w:name="page204"/>
    <w:bookmarkEnd w:id="20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 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obtain as soon as possible the withdrawal thereof.</w:t>
      </w:r>
    </w:p>
    <w:p>
      <w:pPr>
        <w:spacing w:after="0" w:line="63" w:lineRule="exact"/>
        <w:rPr>
          <w:sz w:val="20"/>
          <w:szCs w:val="20"/>
          <w:color w:val="auto"/>
        </w:rPr>
      </w:pPr>
    </w:p>
    <w:p>
      <w:pPr>
        <w:ind w:firstLine="419"/>
        <w:spacing w:after="0" w:line="286" w:lineRule="auto"/>
        <w:tabs>
          <w:tab w:leader="none" w:pos="667" w:val="left"/>
        </w:tabs>
        <w:numPr>
          <w:ilvl w:val="0"/>
          <w:numId w:val="128"/>
        </w:numPr>
        <w:rPr>
          <w:rFonts w:ascii="Arial" w:cs="Arial" w:eastAsia="Arial" w:hAnsi="Arial"/>
          <w:sz w:val="16"/>
          <w:szCs w:val="16"/>
          <w:color w:val="auto"/>
        </w:rPr>
      </w:pPr>
      <w:r>
        <w:rPr>
          <w:rFonts w:ascii="Arial" w:cs="Arial" w:eastAsia="Arial" w:hAnsi="Arial"/>
          <w:sz w:val="16"/>
          <w:szCs w:val="16"/>
          <w:i w:val="1"/>
          <w:iCs w:val="1"/>
          <w:color w:val="auto"/>
        </w:rPr>
        <w:t xml:space="preserve">Ongoing Compliance. </w:t>
      </w:r>
      <w:r>
        <w:rPr>
          <w:rFonts w:ascii="Arial" w:cs="Arial" w:eastAsia="Arial" w:hAnsi="Arial"/>
          <w:sz w:val="16"/>
          <w:szCs w:val="16"/>
          <w:color w:val="auto"/>
        </w:rPr>
        <w:t>(1) If during the Prospectus Delivery Period (i) any event or development shall occur or condition shall exist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promptly notify the Underwriters thereof and forthwith prepare and, subject to paragraph (c) above, file with 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promptly notify the Underwriters thereof and forthwith prepare and, subject to paragraph (c) above, file with the Commission (to the extent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80" w:top="274" w:right="479" w:bottom="1440" w:gutter="0" w:footer="0" w:header="0"/>
        </w:sectPr>
      </w:pPr>
    </w:p>
    <w:bookmarkStart w:id="204" w:name="page205"/>
    <w:bookmarkEnd w:id="204"/>
    <w:p>
      <w:pPr>
        <w:ind w:left="4"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and furnish to the Underwriters and to such dealers as the Representatives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49" w:lineRule="exact"/>
        <w:rPr>
          <w:sz w:val="20"/>
          <w:szCs w:val="20"/>
          <w:color w:val="auto"/>
        </w:rPr>
      </w:pPr>
    </w:p>
    <w:p>
      <w:pPr>
        <w:ind w:left="4" w:right="60" w:firstLine="419"/>
        <w:spacing w:after="0" w:line="286" w:lineRule="auto"/>
        <w:tabs>
          <w:tab w:leader="none" w:pos="651" w:val="left"/>
        </w:tabs>
        <w:numPr>
          <w:ilvl w:val="1"/>
          <w:numId w:val="129"/>
        </w:numPr>
        <w:rPr>
          <w:rFonts w:ascii="Arial" w:cs="Arial" w:eastAsia="Arial" w:hAnsi="Arial"/>
          <w:sz w:val="16"/>
          <w:szCs w:val="16"/>
          <w:color w:val="auto"/>
        </w:rPr>
      </w:pPr>
      <w:r>
        <w:rPr>
          <w:rFonts w:ascii="Arial" w:cs="Arial" w:eastAsia="Arial" w:hAnsi="Arial"/>
          <w:sz w:val="16"/>
          <w:szCs w:val="16"/>
          <w:i w:val="1"/>
          <w:iCs w:val="1"/>
          <w:color w:val="auto"/>
        </w:rPr>
        <w:t xml:space="preserve">Blue Sky Compliance. </w:t>
      </w:r>
      <w:r>
        <w:rPr>
          <w:rFonts w:ascii="Arial" w:cs="Arial" w:eastAsia="Arial" w:hAnsi="Arial"/>
          <w:sz w:val="16"/>
          <w:szCs w:val="16"/>
          <w:color w:val="auto"/>
        </w:rPr>
        <w:t>The Company will qualify the Shares for offer and sale under the securities or Blue Sky laws of such jurisdictions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the Representatives shall reasonably request and will continue such qualifications in effect so long as required for distribution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itself to taxation in any such jurisdiction if it is not otherwise so subject.</w:t>
      </w:r>
    </w:p>
    <w:p>
      <w:pPr>
        <w:spacing w:after="0" w:line="102" w:lineRule="exact"/>
        <w:rPr>
          <w:rFonts w:ascii="Arial" w:cs="Arial" w:eastAsia="Arial" w:hAnsi="Arial"/>
          <w:sz w:val="18"/>
          <w:szCs w:val="18"/>
          <w:color w:val="auto"/>
        </w:rPr>
      </w:pPr>
    </w:p>
    <w:p>
      <w:pPr>
        <w:ind w:left="4" w:right="60" w:firstLine="419"/>
        <w:spacing w:after="0" w:line="296" w:lineRule="auto"/>
        <w:tabs>
          <w:tab w:leader="none" w:pos="681" w:val="left"/>
        </w:tabs>
        <w:numPr>
          <w:ilvl w:val="1"/>
          <w:numId w:val="130"/>
        </w:numPr>
        <w:rPr>
          <w:rFonts w:ascii="Arial" w:cs="Arial" w:eastAsia="Arial" w:hAnsi="Arial"/>
          <w:sz w:val="16"/>
          <w:szCs w:val="16"/>
          <w:color w:val="auto"/>
        </w:rPr>
      </w:pPr>
      <w:r>
        <w:rPr>
          <w:rFonts w:ascii="Arial" w:cs="Arial" w:eastAsia="Arial" w:hAnsi="Arial"/>
          <w:sz w:val="16"/>
          <w:szCs w:val="16"/>
          <w:i w:val="1"/>
          <w:iCs w:val="1"/>
          <w:color w:val="auto"/>
        </w:rPr>
        <w:t xml:space="preserve">Earning Statement. </w:t>
      </w:r>
      <w:r>
        <w:rPr>
          <w:rFonts w:ascii="Arial" w:cs="Arial" w:eastAsia="Arial" w:hAnsi="Arial"/>
          <w:sz w:val="16"/>
          <w:szCs w:val="16"/>
          <w:color w:val="auto"/>
        </w:rPr>
        <w:t>The Company will make generally available to its security holders and the Representatives as soon as practicable an</w:t>
      </w:r>
      <w:r>
        <w:rPr>
          <w:rFonts w:ascii="Arial" w:cs="Arial" w:eastAsia="Arial" w:hAnsi="Arial"/>
          <w:sz w:val="16"/>
          <w:szCs w:val="16"/>
          <w:i w:val="1"/>
          <w:iCs w:val="1"/>
          <w:color w:val="auto"/>
        </w:rPr>
        <w:t xml:space="preserve"> </w:t>
      </w:r>
      <w:r>
        <w:rPr>
          <w:rFonts w:ascii="Arial" w:cs="Arial" w:eastAsia="Arial" w:hAnsi="Arial"/>
          <w:sz w:val="16"/>
          <w:szCs w:val="16"/>
          <w:color w:val="auto"/>
        </w:rPr>
        <w:t>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furnished such statements to its security holders and the Representatives to the extent they are filed on the Commission’s Electronic Data Gathering, Analysis and Retrieval system (“EDGAR”).</w:t>
      </w:r>
    </w:p>
    <w:p>
      <w:pPr>
        <w:spacing w:after="0" w:line="53" w:lineRule="exact"/>
        <w:rPr>
          <w:rFonts w:ascii="Arial" w:cs="Arial" w:eastAsia="Arial" w:hAnsi="Arial"/>
          <w:sz w:val="16"/>
          <w:szCs w:val="16"/>
          <w:color w:val="auto"/>
        </w:rPr>
      </w:pPr>
    </w:p>
    <w:p>
      <w:pPr>
        <w:ind w:left="4" w:firstLine="419"/>
        <w:spacing w:after="0" w:line="268" w:lineRule="auto"/>
        <w:tabs>
          <w:tab w:leader="none" w:pos="681" w:val="left"/>
        </w:tabs>
        <w:numPr>
          <w:ilvl w:val="1"/>
          <w:numId w:val="130"/>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90 days after the date of the Prospectus, the Company will not (i) offer, pledge, sell, contract to sell, sell</w:t>
      </w:r>
      <w:r>
        <w:rPr>
          <w:rFonts w:ascii="Arial" w:cs="Arial" w:eastAsia="Arial" w:hAnsi="Arial"/>
          <w:sz w:val="17"/>
          <w:szCs w:val="17"/>
          <w:i w:val="1"/>
          <w:iCs w:val="1"/>
          <w:color w:val="auto"/>
        </w:rPr>
        <w:t xml:space="preserve"> </w:t>
      </w:r>
      <w:r>
        <w:rPr>
          <w:rFonts w:ascii="Arial" w:cs="Arial" w:eastAsia="Arial" w:hAnsi="Arial"/>
          <w:sz w:val="17"/>
          <w:szCs w:val="17"/>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J.P. Morgan Securities LLC, other than (A) the Shares to be sold hereunder, (B) any shares of Stock of the Company issued upon the exercise or settlement of options or other awards granted under Company Equity Plans or pursuant to any employee stock purchase plan of the Company, (C) any options, shares of Stock and other awards granted under a Company Equity Plan or employee stock purchase plan of the Company, in each case described in the Registration Statement, the Pricing Disclosure Package and the Prospectus, (D) the filing by the Company of any registration statement on Form S-8 or a successor form thereto relating to a Company Equity Plan or employee stock purchase plan described in the Registration Statement, the Pricing Disclosure Package and the</w:t>
      </w:r>
    </w:p>
    <w:p>
      <w:pPr>
        <w:spacing w:after="0" w:line="11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24"/>
          </w:cols>
          <w:pgMar w:left="876" w:top="274" w:right="499" w:bottom="1440" w:gutter="0" w:footer="0" w:header="0"/>
        </w:sectPr>
      </w:pPr>
    </w:p>
    <w:bookmarkStart w:id="205" w:name="page206"/>
    <w:bookmarkEnd w:id="205"/>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Prospectus, and (E) up to 5% of the Company’s securities outstanding immediately following the issuance and sale of the Underwritten Shares pursuant hereto, issued by the Company in connection with mergers, acquisitions or commercial or strategic transactions (including, without limitation joint ventures, marketing or distribution arrangements, collaboration agreements or intellectual property license agreements); provided that the recipient of any such shares of Stock or securities issued pursuant to clause (E) during the 90-day restricted period described above shall enter into an agreement for the remainder of the Restricted Period substantially in the form of Exhibit A hereto; provided, further, that each newly appointed director or executive officer who is a recipient of any Shares or securities issued pursuant to clauses (B) and (C) during the 90-day restricted period described above shall enter into an agreement for the reminder of the Restricted Period substantially in the form of Exhibit A hereto.</w:t>
      </w:r>
    </w:p>
    <w:p>
      <w:pPr>
        <w:spacing w:after="0" w:line="84" w:lineRule="exact"/>
        <w:rPr>
          <w:sz w:val="20"/>
          <w:szCs w:val="20"/>
          <w:color w:val="auto"/>
        </w:rPr>
      </w:pPr>
    </w:p>
    <w:p>
      <w:pPr>
        <w:ind w:firstLine="419"/>
        <w:spacing w:after="0" w:line="277" w:lineRule="auto"/>
        <w:tabs>
          <w:tab w:leader="none" w:pos="638"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Company will apply the net proceeds from the sale of the Shares as described in each of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Pricing Disclosure Package and the Prospectus under the heading “Use of proceeds”.</w:t>
      </w:r>
    </w:p>
    <w:p>
      <w:pPr>
        <w:spacing w:after="0" w:line="62" w:lineRule="exact"/>
        <w:rPr>
          <w:rFonts w:ascii="Arial" w:cs="Arial" w:eastAsia="Arial" w:hAnsi="Arial"/>
          <w:sz w:val="18"/>
          <w:szCs w:val="18"/>
          <w:color w:val="auto"/>
        </w:rPr>
      </w:pPr>
    </w:p>
    <w:p>
      <w:pPr>
        <w:ind w:firstLine="419"/>
        <w:spacing w:after="0" w:line="263" w:lineRule="auto"/>
        <w:tabs>
          <w:tab w:leader="none" w:pos="638"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Neither the Company nor its subsidiaries or affiliates will take, directly or indirectly, without giving effect to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any action designed to or that could reasonably be expected to cause or result in any stabilization or manipulation of the price of the Stock.</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its reasonable best efforts to list, subject to notice of issuance, the Shares on the Nasdaq</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Market.</w:t>
      </w:r>
    </w:p>
    <w:p>
      <w:pPr>
        <w:spacing w:after="0" w:line="102" w:lineRule="exact"/>
        <w:rPr>
          <w:rFonts w:ascii="Arial" w:cs="Arial" w:eastAsia="Arial" w:hAnsi="Arial"/>
          <w:sz w:val="17"/>
          <w:szCs w:val="17"/>
          <w:color w:val="auto"/>
        </w:rPr>
      </w:pPr>
    </w:p>
    <w:p>
      <w:pPr>
        <w:ind w:right="340" w:firstLine="419"/>
        <w:spacing w:after="0" w:line="275" w:lineRule="auto"/>
        <w:tabs>
          <w:tab w:leader="none" w:pos="638"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Reports. </w:t>
      </w:r>
      <w:r>
        <w:rPr>
          <w:rFonts w:ascii="Arial" w:cs="Arial" w:eastAsia="Arial" w:hAnsi="Arial"/>
          <w:sz w:val="17"/>
          <w:szCs w:val="17"/>
          <w:color w:val="auto"/>
        </w:rPr>
        <w:t>During a period of three years from the date of this Agreement, the Company will furnish to the Representatives, as soon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commercially reasonable after the date that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Company will be deemed to have furnished such reports and financial statements to the Representatives to the extent they are filed on EDGAR.</w:t>
      </w:r>
    </w:p>
    <w:p>
      <w:pPr>
        <w:spacing w:after="0" w:line="68" w:lineRule="exact"/>
        <w:rPr>
          <w:rFonts w:ascii="Arial" w:cs="Arial" w:eastAsia="Arial" w:hAnsi="Arial"/>
          <w:sz w:val="17"/>
          <w:szCs w:val="17"/>
          <w:color w:val="auto"/>
        </w:rPr>
      </w:pPr>
    </w:p>
    <w:p>
      <w:pPr>
        <w:ind w:right="440" w:firstLine="419"/>
        <w:spacing w:after="0" w:line="308" w:lineRule="auto"/>
        <w:tabs>
          <w:tab w:leader="none" w:pos="728"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Record Retention</w:t>
      </w:r>
      <w:r>
        <w:rPr>
          <w:rFonts w:ascii="Arial" w:cs="Arial" w:eastAsia="Arial" w:hAnsi="Arial"/>
          <w:sz w:val="17"/>
          <w:szCs w:val="17"/>
          <w:color w:val="auto"/>
        </w:rPr>
        <w:t>. The Company will, pursuant to reasonable procedures developed in good faith, retain copies of each Issuer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that is not filed with the Commission in accordance with Rule 433 under the Securities Act.</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i w:val="1"/>
          <w:iCs w:val="1"/>
          <w:color w:val="auto"/>
        </w:rPr>
        <w:t>Filings.</w:t>
      </w:r>
      <w:r>
        <w:rPr>
          <w:rFonts w:ascii="Arial" w:cs="Arial" w:eastAsia="Arial" w:hAnsi="Arial"/>
          <w:sz w:val="18"/>
          <w:szCs w:val="18"/>
          <w:color w:val="auto"/>
        </w:rPr>
        <w:t xml:space="preserve"> The Company will file with the Commission such reports as may be required by Rule 463 under the Securities Act.</w:t>
      </w:r>
    </w:p>
    <w:p>
      <w:pPr>
        <w:spacing w:after="0" w:line="117" w:lineRule="exact"/>
        <w:rPr>
          <w:sz w:val="20"/>
          <w:szCs w:val="20"/>
          <w:color w:val="auto"/>
        </w:rPr>
      </w:pPr>
    </w:p>
    <w:p>
      <w:pPr>
        <w:jc w:val="both"/>
        <w:ind w:right="120" w:firstLine="419"/>
        <w:spacing w:after="0" w:line="263" w:lineRule="auto"/>
        <w:tabs>
          <w:tab w:leader="none" w:pos="678"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Emerging Growth Company</w:t>
      </w:r>
      <w:r>
        <w:rPr>
          <w:rFonts w:ascii="Arial" w:cs="Arial" w:eastAsia="Arial" w:hAnsi="Arial"/>
          <w:sz w:val="18"/>
          <w:szCs w:val="18"/>
          <w:color w:val="auto"/>
        </w:rPr>
        <w:t>. The Company will promptly notify the Representatives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Shares within the meaning of the Securities Act and (ii) completion of the 90-day restricted period referred to in Section 4(h) hereof.</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0"/>
          </w:cols>
          <w:pgMar w:left="880" w:top="274" w:right="459" w:bottom="1440" w:gutter="0" w:footer="0" w:header="0"/>
        </w:sectPr>
      </w:pPr>
    </w:p>
    <w:bookmarkStart w:id="206" w:name="page207"/>
    <w:bookmarkEnd w:id="206"/>
    <w:p>
      <w:pPr>
        <w:ind w:left="4" w:right="20" w:firstLine="419"/>
        <w:spacing w:after="0" w:line="271" w:lineRule="auto"/>
        <w:tabs>
          <w:tab w:leader="none" w:pos="651" w:val="left"/>
        </w:tabs>
        <w:numPr>
          <w:ilvl w:val="1"/>
          <w:numId w:val="13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 Restrictions</w:t>
      </w:r>
      <w:r>
        <w:rPr>
          <w:rFonts w:ascii="Arial" w:cs="Arial" w:eastAsia="Arial" w:hAnsi="Arial"/>
          <w:sz w:val="17"/>
          <w:szCs w:val="17"/>
          <w:color w:val="auto"/>
        </w:rPr>
        <w:t>. The Company will enforce the terms of all existing agreements, plans and arrangements restricting the transfer by</w:t>
      </w:r>
      <w:r>
        <w:rPr>
          <w:rFonts w:ascii="Arial" w:cs="Arial" w:eastAsia="Arial" w:hAnsi="Arial"/>
          <w:sz w:val="17"/>
          <w:szCs w:val="17"/>
          <w:i w:val="1"/>
          <w:iCs w:val="1"/>
          <w:color w:val="auto"/>
        </w:rPr>
        <w:t xml:space="preserve"> </w:t>
      </w:r>
      <w:r>
        <w:rPr>
          <w:rFonts w:ascii="Arial" w:cs="Arial" w:eastAsia="Arial" w:hAnsi="Arial"/>
          <w:sz w:val="17"/>
          <w:szCs w:val="17"/>
          <w:color w:val="auto"/>
        </w:rPr>
        <w:t>any holder of such holder’s shares of Common Stock or securities convertible into or exercisable or exchangeable for Common Stock (the “Securities”) following the offering of the Shares contemplated hereby. The Company will issue stop-transfer instructions to the transfer agent with respect to any transaction that would constitute a breach of, or default under, such provisions. During the Restricted Period, the Company will enforce, and not waive or amend, such stop-transfer instructions and any transfer restriction, including any “market standoff,” “holdback” or similar agreement or provision, applicable to any Securities unless the Company shall have obtained the prior written consent of J.P. Morgan Securities LLC; provided that this Section 4(r) shall not prohibit the Company from effecting such a waiver or amendment to permit a transfer of securities which is permissible under the terms of the lock-up letters described in Section 6(l).</w:t>
      </w:r>
    </w:p>
    <w:p>
      <w:pPr>
        <w:spacing w:after="0" w:line="178" w:lineRule="exact"/>
        <w:rPr>
          <w:rFonts w:ascii="Arial" w:cs="Arial" w:eastAsia="Arial" w:hAnsi="Arial"/>
          <w:sz w:val="17"/>
          <w:szCs w:val="17"/>
          <w:color w:val="auto"/>
        </w:rPr>
      </w:pPr>
    </w:p>
    <w:p>
      <w:pPr>
        <w:ind w:left="184" w:hanging="184"/>
        <w:spacing w:after="0"/>
        <w:tabs>
          <w:tab w:leader="none" w:pos="184"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4" w:firstLine="419"/>
        <w:spacing w:after="0" w:line="271" w:lineRule="auto"/>
        <w:tabs>
          <w:tab w:leader="none" w:pos="67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4(c) above (including any electronic road show), or (iii) any free writing prospectus prepared by such underwriter and approved by the Company in advance in writing (each such free writing prospectus referred to in clauses (i) or (iii), an “Underwriter Free Writing Prospectus”).</w:t>
      </w:r>
    </w:p>
    <w:p>
      <w:pPr>
        <w:spacing w:after="0" w:line="70" w:lineRule="exact"/>
        <w:rPr>
          <w:rFonts w:ascii="Arial" w:cs="Arial" w:eastAsia="Arial" w:hAnsi="Arial"/>
          <w:sz w:val="17"/>
          <w:szCs w:val="17"/>
          <w:color w:val="auto"/>
        </w:rPr>
      </w:pPr>
    </w:p>
    <w:p>
      <w:pPr>
        <w:ind w:left="4" w:firstLine="419"/>
        <w:spacing w:after="0" w:line="257" w:lineRule="auto"/>
        <w:tabs>
          <w:tab w:leader="none" w:pos="68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Shares unless such terms have previously been included in a free writing prospectus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Underwriters may use a term sheet substantially in the form of Annex C hereto without the consent of the Company;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79" w:lineRule="exact"/>
        <w:rPr>
          <w:rFonts w:ascii="Arial" w:cs="Arial" w:eastAsia="Arial" w:hAnsi="Arial"/>
          <w:sz w:val="18"/>
          <w:szCs w:val="18"/>
          <w:color w:val="auto"/>
        </w:rPr>
      </w:pPr>
    </w:p>
    <w:p>
      <w:pPr>
        <w:ind w:left="4" w:right="60" w:firstLine="419"/>
        <w:spacing w:after="0" w:line="277" w:lineRule="auto"/>
        <w:tabs>
          <w:tab w:leader="none" w:pos="67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03" w:lineRule="exact"/>
        <w:rPr>
          <w:sz w:val="20"/>
          <w:szCs w:val="20"/>
          <w:color w:val="auto"/>
        </w:rPr>
      </w:pPr>
    </w:p>
    <w:p>
      <w:pPr>
        <w:jc w:val="center"/>
        <w:ind w:right="31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464"/>
          </w:cols>
          <w:pgMar w:left="876" w:top="274" w:right="559" w:bottom="1440" w:gutter="0" w:footer="0" w:header="0"/>
        </w:sectPr>
      </w:pPr>
    </w:p>
    <w:bookmarkStart w:id="207" w:name="page208"/>
    <w:bookmarkEnd w:id="207"/>
    <w:p>
      <w:pPr>
        <w:ind w:right="220" w:firstLine="436"/>
        <w:spacing w:after="0" w:line="263" w:lineRule="auto"/>
        <w:tabs>
          <w:tab w:leader="none" w:pos="6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of Underwriters’ Obligations.</w:t>
      </w:r>
      <w:r>
        <w:rPr>
          <w:rFonts w:ascii="Arial" w:cs="Arial" w:eastAsia="Arial" w:hAnsi="Arial"/>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of its respective covenants and other obligations hereunder and to the following additional conditions:</w:t>
      </w:r>
    </w:p>
    <w:p>
      <w:pPr>
        <w:spacing w:after="0" w:line="75" w:lineRule="exact"/>
        <w:rPr>
          <w:rFonts w:ascii="Arial" w:cs="Arial" w:eastAsia="Arial" w:hAnsi="Arial"/>
          <w:sz w:val="18"/>
          <w:szCs w:val="18"/>
          <w:color w:val="auto"/>
        </w:rPr>
      </w:pPr>
    </w:p>
    <w:p>
      <w:pPr>
        <w:ind w:left="440" w:right="160" w:firstLine="419"/>
        <w:spacing w:after="0" w:line="296" w:lineRule="auto"/>
        <w:tabs>
          <w:tab w:leader="none" w:pos="1107" w:val="left"/>
        </w:tabs>
        <w:numPr>
          <w:ilvl w:val="1"/>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Registration Compliance; No Stop Order. </w:t>
      </w:r>
      <w:r>
        <w:rPr>
          <w:rFonts w:ascii="Arial" w:cs="Arial" w:eastAsia="Arial" w:hAnsi="Arial"/>
          <w:sz w:val="16"/>
          <w:szCs w:val="16"/>
          <w:color w:val="auto"/>
        </w:rPr>
        <w:t>No order suspending the effectiveness of the Registration Statement shall be in effect, and no</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for such purpose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53" w:lineRule="exact"/>
        <w:rPr>
          <w:rFonts w:ascii="Arial" w:cs="Arial" w:eastAsia="Arial" w:hAnsi="Arial"/>
          <w:sz w:val="16"/>
          <w:szCs w:val="16"/>
          <w:color w:val="auto"/>
        </w:rPr>
      </w:pPr>
    </w:p>
    <w:p>
      <w:pPr>
        <w:ind w:left="440" w:right="280" w:firstLine="419"/>
        <w:spacing w:after="0" w:line="259" w:lineRule="auto"/>
        <w:tabs>
          <w:tab w:leader="none" w:pos="1118" w:val="left"/>
        </w:tabs>
        <w:numPr>
          <w:ilvl w:val="1"/>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contained herein shall be true and correct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left="440" w:right="80" w:firstLine="419"/>
        <w:spacing w:after="0" w:line="275" w:lineRule="auto"/>
        <w:tabs>
          <w:tab w:leader="none" w:pos="1107" w:val="left"/>
        </w:tabs>
        <w:numPr>
          <w:ilvl w:val="1"/>
          <w:numId w:val="135"/>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3(i) hereof shall have occurred or shall exist, which</w:t>
      </w:r>
      <w:r>
        <w:rPr>
          <w:rFonts w:ascii="Arial" w:cs="Arial" w:eastAsia="Arial" w:hAnsi="Arial"/>
          <w:sz w:val="17"/>
          <w:szCs w:val="17"/>
          <w:i w:val="1"/>
          <w:iCs w:val="1"/>
          <w:color w:val="auto"/>
        </w:rPr>
        <w:t xml:space="preserve"> </w:t>
      </w:r>
      <w:r>
        <w:rPr>
          <w:rFonts w:ascii="Arial" w:cs="Arial" w:eastAsia="Arial" w:hAnsi="Arial"/>
          <w:sz w:val="17"/>
          <w:szCs w:val="17"/>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68" w:lineRule="exact"/>
        <w:rPr>
          <w:rFonts w:ascii="Arial" w:cs="Arial" w:eastAsia="Arial" w:hAnsi="Arial"/>
          <w:sz w:val="17"/>
          <w:szCs w:val="17"/>
          <w:color w:val="auto"/>
        </w:rPr>
      </w:pPr>
    </w:p>
    <w:p>
      <w:pPr>
        <w:ind w:left="440" w:firstLine="419"/>
        <w:spacing w:after="0" w:line="291" w:lineRule="auto"/>
        <w:tabs>
          <w:tab w:leader="none" w:pos="1118" w:val="left"/>
        </w:tabs>
        <w:numPr>
          <w:ilvl w:val="1"/>
          <w:numId w:val="135"/>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The Representatives shall have received on and as of the Closing Date or the Additional Closing Date,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 certificate of the chief financial officer or chief accounting officer of the Company and one additional senior executive officer of the Company who is satisfactory to the Representatives (i) confirming that such officers have carefully reviewed the Registration Statement, the Pricing Disclosure Package and the Prospectus and, to the knowledge of such officers, the representations set forth in Sections 3(b) and 3(d) hereof are true and correct, (ii) confirming that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(iii) to the effect set forth in paragraphs (a) and (c)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08" w:name="page209"/>
    <w:bookmarkEnd w:id="208"/>
    <w:p>
      <w:pPr>
        <w:ind w:left="660" w:hanging="241"/>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Comfort Letters; PFO Certificates.</w:t>
      </w:r>
    </w:p>
    <w:p>
      <w:pPr>
        <w:spacing w:after="0" w:line="117" w:lineRule="exact"/>
        <w:rPr>
          <w:rFonts w:ascii="Arial" w:cs="Arial" w:eastAsia="Arial" w:hAnsi="Arial"/>
          <w:sz w:val="18"/>
          <w:szCs w:val="18"/>
          <w:color w:val="auto"/>
        </w:rPr>
      </w:pPr>
    </w:p>
    <w:p>
      <w:pPr>
        <w:ind w:left="540" w:right="20" w:firstLine="408"/>
        <w:spacing w:after="0" w:line="254" w:lineRule="auto"/>
        <w:tabs>
          <w:tab w:leader="none" w:pos="115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the date of this Agreement and on the Closing Date or the Additional Closing Date, as the case may be, PricewaterhouseCoopers LLP shall have furnished to the Representatives, at the request of the Company, letters, dated the respective dates of delivery thereof and addressed to the Representatives, in form and substance reasonably satisfactory to the Representatives,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provided, that the letter delivered on the Closing Date or the Additional Closing Date, as the case may be, shall use a “cut-off” date no more than two business days (unless otherwise specified) prior to such Closing Date or such Additional Closing Date, as the case may be.</w:t>
      </w:r>
    </w:p>
    <w:p>
      <w:pPr>
        <w:spacing w:after="0" w:line="83" w:lineRule="exact"/>
        <w:rPr>
          <w:rFonts w:ascii="Arial" w:cs="Arial" w:eastAsia="Arial" w:hAnsi="Arial"/>
          <w:sz w:val="18"/>
          <w:szCs w:val="18"/>
          <w:color w:val="auto"/>
        </w:rPr>
      </w:pPr>
    </w:p>
    <w:p>
      <w:pPr>
        <w:ind w:left="540" w:right="120" w:firstLine="408"/>
        <w:spacing w:after="0" w:line="301" w:lineRule="auto"/>
        <w:tabs>
          <w:tab w:leader="none" w:pos="120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principal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49" w:lineRule="exact"/>
        <w:rPr>
          <w:rFonts w:ascii="Arial" w:cs="Arial" w:eastAsia="Arial" w:hAnsi="Arial"/>
          <w:sz w:val="16"/>
          <w:szCs w:val="16"/>
          <w:color w:val="auto"/>
        </w:rPr>
      </w:pPr>
    </w:p>
    <w:p>
      <w:pPr>
        <w:ind w:firstLine="419"/>
        <w:spacing w:after="0" w:line="259"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Opinion of Intellectual Property Counsel for the Company. </w:t>
      </w:r>
      <w:r>
        <w:rPr>
          <w:rFonts w:ascii="Arial" w:cs="Arial" w:eastAsia="Arial" w:hAnsi="Arial"/>
          <w:sz w:val="18"/>
          <w:szCs w:val="18"/>
          <w:color w:val="auto"/>
        </w:rPr>
        <w:t>Each of Cooley LLP and Clark+Elbing LLP, intellectual property counsels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have furnished to the Representatives, at the request of the Company, its written opinion,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jc w:val="both"/>
        <w:ind w:right="240" w:firstLine="419"/>
        <w:spacing w:after="0" w:line="311" w:lineRule="auto"/>
        <w:tabs>
          <w:tab w:leader="none" w:pos="678" w:val="left"/>
        </w:tabs>
        <w:numPr>
          <w:ilvl w:val="0"/>
          <w:numId w:val="136"/>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Company. </w:t>
      </w:r>
      <w:r>
        <w:rPr>
          <w:rFonts w:ascii="Arial" w:cs="Arial" w:eastAsia="Arial" w:hAnsi="Arial"/>
          <w:sz w:val="16"/>
          <w:szCs w:val="16"/>
          <w:color w:val="auto"/>
        </w:rPr>
        <w:t>Latham &amp; Watkins, LLP, counsel for the Company, shall have furnished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40" w:lineRule="exact"/>
        <w:rPr>
          <w:rFonts w:ascii="Arial" w:cs="Arial" w:eastAsia="Arial" w:hAnsi="Arial"/>
          <w:sz w:val="16"/>
          <w:szCs w:val="16"/>
          <w:color w:val="auto"/>
        </w:rPr>
      </w:pPr>
    </w:p>
    <w:p>
      <w:pPr>
        <w:jc w:val="both"/>
        <w:ind w:right="60" w:firstLine="419"/>
        <w:spacing w:after="0" w:line="279" w:lineRule="auto"/>
        <w:tabs>
          <w:tab w:leader="none" w:pos="678"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 xml:space="preserve">Opinion and 10b-5 Statement of Counsel for the Underwriters. </w:t>
      </w:r>
      <w:r>
        <w:rPr>
          <w:rFonts w:ascii="Arial" w:cs="Arial" w:eastAsia="Arial" w:hAnsi="Arial"/>
          <w:sz w:val="17"/>
          <w:szCs w:val="17"/>
          <w:color w:val="auto"/>
        </w:rPr>
        <w:t>The Representatives shall have received on and as of the Closing Date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Additional Closing Date, as the case may be, an opinion and 10b-5 statement, addressed to the Underwriters, of Davis Polk &amp; Wardwell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63" w:lineRule="exact"/>
        <w:rPr>
          <w:rFonts w:ascii="Arial" w:cs="Arial" w:eastAsia="Arial" w:hAnsi="Arial"/>
          <w:sz w:val="17"/>
          <w:szCs w:val="17"/>
          <w:color w:val="auto"/>
        </w:rPr>
      </w:pPr>
    </w:p>
    <w:p>
      <w:pPr>
        <w:ind w:right="100" w:firstLine="419"/>
        <w:spacing w:after="0" w:line="257" w:lineRule="auto"/>
        <w:tabs>
          <w:tab w:leader="none" w:pos="638"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 xml:space="preserve">No Legal Impediment to Issuance and/or Sale. </w:t>
      </w:r>
      <w:r>
        <w:rPr>
          <w:rFonts w:ascii="Arial" w:cs="Arial" w:eastAsia="Arial" w:hAnsi="Arial"/>
          <w:sz w:val="18"/>
          <w:szCs w:val="18"/>
          <w:color w:val="auto"/>
        </w:rPr>
        <w:t>No action shall have been taken and no statute, rule, regulation or order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enacted, adopted or issued by any federal, state or foreign governmental or regulatory authority that would, as of the Closing Date or the Additional Closing Date, as the case may be, prevent the issuance or sale of the Shares; and no injunction or order of any federal, state or foreign court shall have been issued that would, as of the Closing Date or the Additional Closing Date, as the case may be, prevent the issuance or sale of the Shares.</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209" w:name="page210"/>
    <w:bookmarkEnd w:id="209"/>
    <w:p>
      <w:pPr>
        <w:ind w:left="444" w:right="120" w:firstLine="419"/>
        <w:spacing w:after="0" w:line="259" w:lineRule="auto"/>
        <w:tabs>
          <w:tab w:leader="none" w:pos="108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Good Standing</w:t>
      </w:r>
      <w:r>
        <w:rPr>
          <w:rFonts w:ascii="Arial" w:cs="Arial" w:eastAsia="Arial" w:hAnsi="Arial"/>
          <w:sz w:val="18"/>
          <w:szCs w:val="18"/>
          <w:color w:val="auto"/>
        </w:rPr>
        <w:t>. The Representatives shall have received on and as of the Closing Date or the Additional Closing Date,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satisfactory evidence of the good standing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78" w:lineRule="exact"/>
        <w:rPr>
          <w:rFonts w:ascii="Arial" w:cs="Arial" w:eastAsia="Arial" w:hAnsi="Arial"/>
          <w:sz w:val="18"/>
          <w:szCs w:val="18"/>
          <w:color w:val="auto"/>
        </w:rPr>
      </w:pPr>
    </w:p>
    <w:p>
      <w:pPr>
        <w:ind w:left="444" w:right="240" w:firstLine="419"/>
        <w:spacing w:after="0" w:line="277" w:lineRule="auto"/>
        <w:tabs>
          <w:tab w:leader="none" w:pos="1122"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 xml:space="preserve">Exchange Listing. </w:t>
      </w:r>
      <w:r>
        <w:rPr>
          <w:rFonts w:ascii="Arial" w:cs="Arial" w:eastAsia="Arial" w:hAnsi="Arial"/>
          <w:sz w:val="18"/>
          <w:szCs w:val="18"/>
          <w:color w:val="auto"/>
        </w:rPr>
        <w:t>The Shares to be delivered on the Closing Date or the Additional Closing Date, as the case may be, shall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for listing on the Nasdaq Market, subject to official notice of issuance.</w:t>
      </w:r>
    </w:p>
    <w:p>
      <w:pPr>
        <w:spacing w:after="0" w:line="62" w:lineRule="exact"/>
        <w:rPr>
          <w:rFonts w:ascii="Arial" w:cs="Arial" w:eastAsia="Arial" w:hAnsi="Arial"/>
          <w:sz w:val="18"/>
          <w:szCs w:val="18"/>
          <w:color w:val="auto"/>
        </w:rPr>
      </w:pPr>
    </w:p>
    <w:p>
      <w:pPr>
        <w:ind w:left="444" w:firstLine="419"/>
        <w:spacing w:after="0" w:line="311" w:lineRule="auto"/>
        <w:tabs>
          <w:tab w:leader="none" w:pos="1082" w:val="left"/>
        </w:tabs>
        <w:numPr>
          <w:ilvl w:val="0"/>
          <w:numId w:val="137"/>
        </w:numPr>
        <w:rPr>
          <w:rFonts w:ascii="Arial" w:cs="Arial" w:eastAsia="Arial" w:hAnsi="Arial"/>
          <w:sz w:val="16"/>
          <w:szCs w:val="16"/>
          <w:color w:val="auto"/>
        </w:rPr>
      </w:pPr>
      <w:r>
        <w:rPr>
          <w:rFonts w:ascii="Arial" w:cs="Arial" w:eastAsia="Arial" w:hAnsi="Arial"/>
          <w:sz w:val="16"/>
          <w:szCs w:val="16"/>
          <w:i w:val="1"/>
          <w:iCs w:val="1"/>
          <w:color w:val="auto"/>
        </w:rPr>
        <w:t>Lock-up Agreements</w:t>
      </w:r>
      <w:r>
        <w:rPr>
          <w:rFonts w:ascii="Arial" w:cs="Arial" w:eastAsia="Arial" w:hAnsi="Arial"/>
          <w:sz w:val="16"/>
          <w:szCs w:val="16"/>
          <w:color w:val="auto"/>
        </w:rPr>
        <w:t>. The “lock-up” agreements, each substantially in the form of Exhibit A hereto, between you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officers and directors of the Company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40" w:lineRule="exact"/>
        <w:rPr>
          <w:rFonts w:ascii="Arial" w:cs="Arial" w:eastAsia="Arial" w:hAnsi="Arial"/>
          <w:sz w:val="16"/>
          <w:szCs w:val="16"/>
          <w:color w:val="auto"/>
        </w:rPr>
      </w:pPr>
    </w:p>
    <w:p>
      <w:pPr>
        <w:ind w:left="444" w:right="340" w:firstLine="419"/>
        <w:spacing w:after="0" w:line="308" w:lineRule="auto"/>
        <w:tabs>
          <w:tab w:leader="none" w:pos="1172" w:val="left"/>
        </w:tabs>
        <w:numPr>
          <w:ilvl w:val="0"/>
          <w:numId w:val="137"/>
        </w:numPr>
        <w:rPr>
          <w:rFonts w:ascii="Arial" w:cs="Arial" w:eastAsia="Arial" w:hAnsi="Arial"/>
          <w:sz w:val="17"/>
          <w:szCs w:val="17"/>
          <w:color w:val="auto"/>
        </w:rPr>
      </w:pPr>
      <w:r>
        <w:rPr>
          <w:rFonts w:ascii="Arial" w:cs="Arial" w:eastAsia="Arial" w:hAnsi="Arial"/>
          <w:sz w:val="17"/>
          <w:szCs w:val="17"/>
          <w:i w:val="1"/>
          <w:iCs w:val="1"/>
          <w:color w:val="auto"/>
        </w:rPr>
        <w:t xml:space="preserve">Additional Documents. </w:t>
      </w:r>
      <w:r>
        <w:rPr>
          <w:rFonts w:ascii="Arial" w:cs="Arial" w:eastAsia="Arial" w:hAnsi="Arial"/>
          <w:sz w:val="17"/>
          <w:szCs w:val="17"/>
          <w:color w:val="auto"/>
        </w:rPr>
        <w:t>On or prior to the Closing Date or the Additional Closing Date, as the case may be, the Company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furnished to the Representatives such further certificates and documents as the Representatives may reasonably request.</w:t>
      </w:r>
    </w:p>
    <w:p>
      <w:pPr>
        <w:spacing w:after="0" w:line="146"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24" w:hanging="184"/>
        <w:spacing w:after="0"/>
        <w:tabs>
          <w:tab w:leader="none" w:pos="62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jc w:val="both"/>
        <w:ind w:left="4" w:right="20" w:firstLine="436"/>
        <w:spacing w:after="0" w:line="284" w:lineRule="auto"/>
        <w:tabs>
          <w:tab w:leader="none" w:pos="689" w:val="left"/>
        </w:tabs>
        <w:numPr>
          <w:ilvl w:val="1"/>
          <w:numId w:val="139"/>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Underwriters. </w:t>
      </w:r>
      <w:r>
        <w:rPr>
          <w:rFonts w:ascii="Arial" w:cs="Arial" w:eastAsia="Arial" w:hAnsi="Arial"/>
          <w:sz w:val="16"/>
          <w:szCs w:val="16"/>
          <w:color w:val="auto"/>
        </w:rPr>
        <w:t>The Company agrees to indemnify and hold harmless each Underwriter, its affiliates, employees, agents,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officers and each person, if any, who controls such Underwriter within the meaning of Section 15 of the Securities Act or Section 20 of the Exchange Act, from and against any and all losses, claims, damages and liabilities (including, without limitation, legal fees and other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w:t>
      </w:r>
    </w:p>
    <w:p>
      <w:pPr>
        <w:spacing w:after="0" w:line="4" w:lineRule="exact"/>
        <w:rPr>
          <w:rFonts w:ascii="Arial" w:cs="Arial" w:eastAsia="Arial" w:hAnsi="Arial"/>
          <w:sz w:val="16"/>
          <w:szCs w:val="16"/>
          <w:color w:val="auto"/>
        </w:rPr>
      </w:pPr>
    </w:p>
    <w:p>
      <w:pPr>
        <w:ind w:left="4" w:hanging="4"/>
        <w:spacing w:after="0" w:line="290" w:lineRule="auto"/>
        <w:tabs>
          <w:tab w:leader="none" w:pos="26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210" w:name="page211"/>
    <w:bookmarkEnd w:id="210"/>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(b) below.</w:t>
      </w:r>
    </w:p>
    <w:p>
      <w:pPr>
        <w:spacing w:after="0" w:line="57" w:lineRule="exact"/>
        <w:rPr>
          <w:sz w:val="20"/>
          <w:szCs w:val="20"/>
          <w:color w:val="auto"/>
        </w:rPr>
      </w:pPr>
    </w:p>
    <w:p>
      <w:pPr>
        <w:ind w:firstLine="436"/>
        <w:spacing w:after="0" w:line="287" w:lineRule="auto"/>
        <w:tabs>
          <w:tab w:leader="none" w:pos="695" w:val="left"/>
        </w:tabs>
        <w:numPr>
          <w:ilvl w:val="0"/>
          <w:numId w:val="141"/>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(including, without limitation, legal fees and other expenses incurred in connection with any suit, action or proceeding or any claim asserted, as such fees and expenses are incurred)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figures appearing in the third paragraph under the caption “Underwriting” and the information contained in the fourteenth and fifteenth paragraphs under the caption “Underwriting” relating to price stabilization, short positions and penalty bids.</w:t>
      </w:r>
    </w:p>
    <w:p>
      <w:pPr>
        <w:spacing w:after="0" w:line="59" w:lineRule="exact"/>
        <w:rPr>
          <w:rFonts w:ascii="Arial" w:cs="Arial" w:eastAsia="Arial" w:hAnsi="Arial"/>
          <w:sz w:val="16"/>
          <w:szCs w:val="16"/>
          <w:color w:val="auto"/>
        </w:rPr>
      </w:pPr>
    </w:p>
    <w:p>
      <w:pPr>
        <w:ind w:firstLine="436"/>
        <w:spacing w:after="0" w:line="268" w:lineRule="auto"/>
        <w:tabs>
          <w:tab w:leader="none" w:pos="685" w:val="left"/>
        </w:tabs>
        <w:numPr>
          <w:ilvl w:val="0"/>
          <w:numId w:val="141"/>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brought or asserted against any person in respect of which indemnification may be sought pursuant to the preceding paragraphs of this Section 7,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the preceding paragraphs of this Section 7 except to the extent that it has been materially prejudiced (through the forfeiture of substantive rights or defenses) by such failure;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failure to notify the Indemnifying Person shall not relieve it from any liability that it may have to an Indemnified Person otherwise than under the preceding paragraphs of this Section 7.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fees and expenses in such proceeding and shall pay the reasonable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11" w:name="page212"/>
    <w:bookmarkEnd w:id="21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4" w:lineRule="exact"/>
        <w:rPr>
          <w:sz w:val="20"/>
          <w:szCs w:val="20"/>
          <w:color w:val="auto"/>
        </w:rPr>
      </w:pPr>
    </w:p>
    <w:p>
      <w:pPr>
        <w:ind w:right="80" w:firstLine="436"/>
        <w:spacing w:after="0" w:line="269" w:lineRule="auto"/>
        <w:tabs>
          <w:tab w:leader="none" w:pos="69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or (b) above is unavailable to an Indemnified Person or insufficient in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Shares and the total underwriting discounts and commissions received by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12" w:name="page213"/>
    <w:bookmarkEnd w:id="212"/>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Underwriters in connection therewith, in each case as set forth in the table on the cover of the Prospectus, bear to the aggregate offering price of the Shares.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80" w:lineRule="exact"/>
        <w:rPr>
          <w:sz w:val="20"/>
          <w:szCs w:val="20"/>
          <w:color w:val="auto"/>
        </w:rPr>
      </w:pPr>
    </w:p>
    <w:p>
      <w:pPr>
        <w:ind w:left="684" w:hanging="244"/>
        <w:spacing w:after="0"/>
        <w:tabs>
          <w:tab w:leader="none" w:pos="684" w:val="left"/>
        </w:tabs>
        <w:numPr>
          <w:ilvl w:val="1"/>
          <w:numId w:val="143"/>
        </w:numPr>
        <w:rPr>
          <w:rFonts w:ascii="Arial" w:cs="Arial" w:eastAsia="Arial" w:hAnsi="Arial"/>
          <w:sz w:val="16"/>
          <w:szCs w:val="16"/>
          <w:color w:val="auto"/>
        </w:rPr>
      </w:pPr>
      <w:r>
        <w:rPr>
          <w:rFonts w:ascii="Arial" w:cs="Arial" w:eastAsia="Arial" w:hAnsi="Arial"/>
          <w:sz w:val="16"/>
          <w:szCs w:val="16"/>
          <w:i w:val="1"/>
          <w:iCs w:val="1"/>
          <w:color w:val="auto"/>
        </w:rPr>
        <w:t xml:space="preserve">Limitation on Liability. </w:t>
      </w:r>
      <w:r>
        <w:rPr>
          <w:rFonts w:ascii="Arial" w:cs="Arial" w:eastAsia="Arial" w:hAnsi="Arial"/>
          <w:sz w:val="16"/>
          <w:szCs w:val="16"/>
          <w:color w:val="auto"/>
        </w:rPr>
        <w:t>The Company and the Underwriters agree that it would not be just and equitable if contribution pursuant to paragraph</w:t>
      </w:r>
    </w:p>
    <w:p>
      <w:pPr>
        <w:spacing w:after="0" w:line="46" w:lineRule="exact"/>
        <w:rPr>
          <w:rFonts w:ascii="Arial" w:cs="Arial" w:eastAsia="Arial" w:hAnsi="Arial"/>
          <w:sz w:val="16"/>
          <w:szCs w:val="16"/>
          <w:color w:val="auto"/>
        </w:rPr>
      </w:pPr>
    </w:p>
    <w:p>
      <w:pPr>
        <w:ind w:left="4" w:hanging="4"/>
        <w:spacing w:after="0" w:line="286" w:lineRule="auto"/>
        <w:tabs>
          <w:tab w:leader="none" w:pos="259"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above were determined by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legal or other expenses reasonably incurred by such Indemnified Person in connection with any such action or claim. Notwithstanding the provisions of paragraphs (d) and (e),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are several in proportion to their respective purchase obligations hereunder and not joint.</w:t>
      </w:r>
    </w:p>
    <w:p>
      <w:pPr>
        <w:spacing w:after="0" w:line="61" w:lineRule="exact"/>
        <w:rPr>
          <w:rFonts w:ascii="Arial" w:cs="Arial" w:eastAsia="Arial" w:hAnsi="Arial"/>
          <w:sz w:val="16"/>
          <w:szCs w:val="16"/>
          <w:color w:val="auto"/>
        </w:rPr>
      </w:pPr>
    </w:p>
    <w:p>
      <w:pPr>
        <w:ind w:left="4" w:right="20" w:firstLine="436"/>
        <w:spacing w:after="0" w:line="277" w:lineRule="auto"/>
        <w:tabs>
          <w:tab w:leader="none" w:pos="669"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7 paragraphs (a) through (e) are not exclusive and shall not limit any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or remedies which may otherwise be available to any Indemnified Person at law or in equity.</w:t>
      </w:r>
    </w:p>
    <w:p>
      <w:pPr>
        <w:spacing w:after="0" w:line="170" w:lineRule="exact"/>
        <w:rPr>
          <w:sz w:val="20"/>
          <w:szCs w:val="20"/>
          <w:color w:val="auto"/>
        </w:rPr>
      </w:pPr>
    </w:p>
    <w:p>
      <w:pPr>
        <w:ind w:left="624" w:hanging="184"/>
        <w:spacing w:after="0"/>
        <w:tabs>
          <w:tab w:leader="none" w:pos="624"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as of the date first written above.</w:t>
      </w:r>
    </w:p>
    <w:p>
      <w:pPr>
        <w:spacing w:after="0" w:line="225" w:lineRule="exact"/>
        <w:rPr>
          <w:rFonts w:ascii="Arial" w:cs="Arial" w:eastAsia="Arial" w:hAnsi="Arial"/>
          <w:sz w:val="18"/>
          <w:szCs w:val="18"/>
          <w:color w:val="auto"/>
        </w:rPr>
      </w:pPr>
    </w:p>
    <w:p>
      <w:pPr>
        <w:ind w:left="4" w:right="180" w:firstLine="436"/>
        <w:spacing w:after="0" w:line="291" w:lineRule="auto"/>
        <w:tabs>
          <w:tab w:leader="none" w:pos="624"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in the absolute discretion of the Representatives, by notice to the Company, if after the execution and delivery of this Agreement and on or prior to the Closing Date or, in the case of the Option Shares, prior to the Additional Closing Date</w:t>
      </w:r>
    </w:p>
    <w:p>
      <w:pPr>
        <w:ind w:left="224" w:hanging="224"/>
        <w:spacing w:after="0"/>
        <w:tabs>
          <w:tab w:leader="none" w:pos="22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trading generally shall have been suspended or materially limited on or by any of the New York Stock Exchange or The Nasdaq Stock Market;</w:t>
      </w:r>
    </w:p>
    <w:p>
      <w:pPr>
        <w:spacing w:after="0" w:line="20" w:lineRule="exact"/>
        <w:rPr>
          <w:rFonts w:ascii="Arial" w:cs="Arial" w:eastAsia="Arial" w:hAnsi="Arial"/>
          <w:sz w:val="17"/>
          <w:szCs w:val="17"/>
          <w:color w:val="auto"/>
        </w:rPr>
      </w:pPr>
    </w:p>
    <w:p>
      <w:pPr>
        <w:ind w:left="4" w:right="60" w:hanging="4"/>
        <w:spacing w:after="0" w:line="270" w:lineRule="auto"/>
        <w:tabs>
          <w:tab w:leader="none" w:pos="269"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4"/>
          </w:cols>
          <w:pgMar w:left="436" w:top="274" w:right="479" w:bottom="1440" w:gutter="0" w:footer="0" w:header="0"/>
        </w:sectPr>
      </w:pPr>
    </w:p>
    <w:bookmarkStart w:id="213" w:name="page214"/>
    <w:bookmarkEnd w:id="213"/>
    <w:p>
      <w:pPr>
        <w:ind w:left="700" w:hanging="264"/>
        <w:spacing w:after="0"/>
        <w:tabs>
          <w:tab w:leader="none" w:pos="7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Defaulting Underwriter</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on the terms contained in this Agreement. If, within 36 hours after any such default by any Underwriter, the non-defaulting Underwriters do not arrange for the purchase of such Shares, then the Company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10, purchases Shares that a defaulting Underwriter agreed but failed to purchase.</w:t>
      </w:r>
    </w:p>
    <w:p>
      <w:pPr>
        <w:spacing w:after="0" w:line="63" w:lineRule="exact"/>
        <w:rPr>
          <w:rFonts w:ascii="Arial" w:cs="Arial" w:eastAsia="Arial" w:hAnsi="Arial"/>
          <w:sz w:val="16"/>
          <w:szCs w:val="16"/>
          <w:color w:val="auto"/>
        </w:rPr>
      </w:pPr>
    </w:p>
    <w:p>
      <w:pPr>
        <w:ind w:right="20" w:firstLine="436"/>
        <w:spacing w:after="0" w:line="293" w:lineRule="auto"/>
        <w:tabs>
          <w:tab w:leader="none" w:pos="69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does not exceed one-eleventh of the aggregate number of Shares to be purchased on such date, then the Company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56" w:lineRule="exact"/>
        <w:rPr>
          <w:rFonts w:ascii="Arial" w:cs="Arial" w:eastAsia="Arial" w:hAnsi="Arial"/>
          <w:sz w:val="16"/>
          <w:szCs w:val="16"/>
          <w:color w:val="auto"/>
        </w:rPr>
      </w:pPr>
    </w:p>
    <w:p>
      <w:pPr>
        <w:ind w:right="80" w:firstLine="436"/>
        <w:spacing w:after="0" w:line="271" w:lineRule="auto"/>
        <w:tabs>
          <w:tab w:leader="none" w:pos="68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Shares of a defaulting Underwriter or Underwriters by the non-defaulting Underwriters and the Company as provided in paragraph (a) above, the aggregate number of Shares that remain unpurchased on the Closing Date or the Additional Closing Date, as the case may be, exceeds one-eleventh of the aggregate amount of Shares to be purchased on such date, or if the Company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 11 hereof and except that the provisions of Section 7 hereof shall not terminate and shall remain in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14" w:name="page215"/>
    <w:bookmarkEnd w:id="214"/>
    <w:p>
      <w:pPr>
        <w:ind w:right="20" w:firstLine="436"/>
        <w:spacing w:after="0" w:line="277"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00" w:hanging="264"/>
        <w:spacing w:after="0"/>
        <w:tabs>
          <w:tab w:leader="none" w:pos="7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including any stock or other transfer taxes and any stamp or other duties payable upon the sale, issuance or delivery of the Shares to the Underwriters pursuant to this Agreement;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state or foreign securities or blue sky laws of such jurisdictions as the Representatives may designate and the preparation, printing and distribution of a Blue Sky Memorandum (including the related fees and expenses of counsel for the Underwriters); (v) the cost of preparing stock certificates; (vi) the costs and charges of any transfer agent and any registrar; (vii) all expenses and application fees incurred in connection with any filing with, and clearance of the offering by, FINRA, provided that the aggregate amount payable by the Company pursuant to clauses (iv) and (vii) shall not exceed $40,000 (excluding filing fees); (viii) all expenses incurred by the Company in connection with any “road show” presentation to potential investors (provided, however, that the Underwriters and the Company shall each pay 50% of the cost of chartering any aircraft to be used in connection with the road show by the Company and the Underwriters); and (ix) all expenses and application fees related to the listing of the Shares on the Nasdaq Market.</w:t>
      </w:r>
    </w:p>
    <w:p>
      <w:pPr>
        <w:spacing w:after="0" w:line="59" w:lineRule="exact"/>
        <w:rPr>
          <w:rFonts w:ascii="Arial" w:cs="Arial" w:eastAsia="Arial" w:hAnsi="Arial"/>
          <w:sz w:val="16"/>
          <w:szCs w:val="16"/>
          <w:color w:val="auto"/>
        </w:rPr>
      </w:pPr>
    </w:p>
    <w:p>
      <w:pPr>
        <w:ind w:firstLine="436"/>
        <w:spacing w:after="0" w:line="296" w:lineRule="auto"/>
        <w:tabs>
          <w:tab w:leader="none" w:pos="69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If (i) this Agreement is terminated pursuant to clauses (i) or (ii) of Section 9, (ii) the Company for any reason fails to tender the Shares for delivery to the Underwriters or (iii) the Underwriters decline to purchase the Shares for any reason permitted under this Agreement, the Company agrees to reimburse the Underwriters for all out-of-pocket costs and expenses (including the fees and expenses of their counsel) reasonably incurred by the Underwriters in connection with this Agreement and the offering contemplated hereby. For the avoidance of doubt, it is understood that the Company shall not pay or reimburse any costs, fees or expenses incurred by any Underwriter that defaults on its obligations to purchase the Shares.</w:t>
      </w:r>
    </w:p>
    <w:p>
      <w:pPr>
        <w:spacing w:after="0" w:line="161" w:lineRule="exact"/>
        <w:rPr>
          <w:sz w:val="20"/>
          <w:szCs w:val="20"/>
          <w:color w:val="auto"/>
        </w:rPr>
      </w:pPr>
    </w:p>
    <w:p>
      <w:pPr>
        <w:ind w:firstLine="436"/>
        <w:spacing w:after="0" w:line="257" w:lineRule="auto"/>
        <w:tabs>
          <w:tab w:leader="none" w:pos="71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Persons Entitled to Benefit of Agreement</w:t>
      </w:r>
      <w:r>
        <w:rPr>
          <w:rFonts w:ascii="Arial" w:cs="Arial" w:eastAsia="Arial" w:hAnsi="Arial"/>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7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15" w:name="page216"/>
    <w:bookmarkEnd w:id="215"/>
    <w:p>
      <w:pPr>
        <w:ind w:right="100" w:firstLine="436"/>
        <w:spacing w:after="0" w:line="257" w:lineRule="auto"/>
        <w:tabs>
          <w:tab w:leader="none" w:pos="71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Survival</w:t>
      </w:r>
      <w:r>
        <w:rPr>
          <w:rFonts w:ascii="Arial" w:cs="Arial" w:eastAsia="Arial" w:hAnsi="Arial"/>
          <w:sz w:val="18"/>
          <w:szCs w:val="18"/>
          <w:color w:val="auto"/>
        </w:rPr>
        <w:t>. 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or the Underwriters or the directors, officers, controlling persons or affiliates referred to in Section 7 hereof.</w:t>
      </w:r>
    </w:p>
    <w:p>
      <w:pPr>
        <w:spacing w:after="0" w:line="187" w:lineRule="exact"/>
        <w:rPr>
          <w:rFonts w:ascii="Arial" w:cs="Arial" w:eastAsia="Arial" w:hAnsi="Arial"/>
          <w:sz w:val="18"/>
          <w:szCs w:val="18"/>
          <w:color w:val="auto"/>
        </w:rPr>
      </w:pPr>
    </w:p>
    <w:p>
      <w:pPr>
        <w:jc w:val="both"/>
        <w:ind w:right="200" w:firstLine="436"/>
        <w:spacing w:after="0" w:line="279" w:lineRule="auto"/>
        <w:tabs>
          <w:tab w:leader="none" w:pos="71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71" w:lineRule="exact"/>
        <w:rPr>
          <w:rFonts w:ascii="Arial" w:cs="Arial" w:eastAsia="Arial" w:hAnsi="Arial"/>
          <w:sz w:val="17"/>
          <w:szCs w:val="17"/>
          <w:color w:val="auto"/>
        </w:rPr>
      </w:pPr>
    </w:p>
    <w:p>
      <w:pPr>
        <w:ind w:right="20" w:firstLine="436"/>
        <w:spacing w:after="0" w:line="259" w:lineRule="auto"/>
        <w:tabs>
          <w:tab w:leader="none" w:pos="71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6" w:lineRule="exact"/>
        <w:rPr>
          <w:rFonts w:ascii="Arial" w:cs="Arial" w:eastAsia="Arial" w:hAnsi="Arial"/>
          <w:sz w:val="18"/>
          <w:szCs w:val="18"/>
          <w:color w:val="auto"/>
        </w:rPr>
      </w:pPr>
    </w:p>
    <w:p>
      <w:pPr>
        <w:ind w:left="700" w:hanging="264"/>
        <w:spacing w:after="0"/>
        <w:tabs>
          <w:tab w:leader="none" w:pos="7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1" w:lineRule="auto"/>
        <w:tabs>
          <w:tab w:leader="none" w:pos="685" w:val="left"/>
        </w:tabs>
        <w:numPr>
          <w:ilvl w:val="0"/>
          <w:numId w:val="154"/>
        </w:numPr>
        <w:rPr>
          <w:rFonts w:ascii="Arial" w:cs="Arial" w:eastAsia="Arial" w:hAnsi="Arial"/>
          <w:sz w:val="17"/>
          <w:szCs w:val="17"/>
          <w:color w:val="auto"/>
        </w:rPr>
      </w:pPr>
      <w:r>
        <w:rPr>
          <w:rFonts w:ascii="Arial" w:cs="Arial" w:eastAsia="Arial" w:hAnsi="Arial"/>
          <w:sz w:val="17"/>
          <w:szCs w:val="17"/>
          <w:i w:val="1"/>
          <w:iCs w:val="1"/>
          <w:color w:val="auto"/>
        </w:rPr>
        <w:t xml:space="preserve">Notices. </w:t>
      </w:r>
      <w:r>
        <w:rPr>
          <w:rFonts w:ascii="Arial" w:cs="Arial" w:eastAsia="Arial" w:hAnsi="Arial"/>
          <w:sz w:val="17"/>
          <w:szCs w:val="17"/>
          <w:color w:val="auto"/>
        </w:rPr>
        <w:t>All notices and other communications hereunder shall be in writing and shall be deemed to have been duly given if mailed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transmitted and confirmed by any standard form of telecommunication. Notices to the Underwriters shall be given to the Representatives c/o J.P. Morgan Securities LLC, 383 Madison Avenue, New York, New York 10179 (fax: (212) 622-8358); Attention: Equity Syndicate Desk; c/o Cowen and Company, LLC, 599 Lexington Avenue, New York, NY 10022 Attention: Head of Equity Capital Markets, Fax: 646-562-1249 with a copy to the General Counsel, Fax: 646-562-1130; c/o SVB Leerink LLC, One Federal Street, 37</w:t>
      </w:r>
      <w:r>
        <w:rPr>
          <w:rFonts w:ascii="Arial" w:cs="Arial" w:eastAsia="Arial" w:hAnsi="Arial"/>
          <w:sz w:val="14"/>
          <w:szCs w:val="14"/>
          <w:color w:val="auto"/>
        </w:rPr>
        <w:t>th</w:t>
      </w:r>
      <w:r>
        <w:rPr>
          <w:rFonts w:ascii="Arial" w:cs="Arial" w:eastAsia="Arial" w:hAnsi="Arial"/>
          <w:sz w:val="17"/>
          <w:szCs w:val="17"/>
          <w:color w:val="auto"/>
        </w:rPr>
        <w:t xml:space="preserve"> Floor Boston, MA 02110 Attention: John I. Fitzgerald, Esq.; c/o Guggenheim Securities, LLC, 330 Madison Avenue, New York, NY 10017 Attention: Ronald Gerber. Notices to the Company shall be given to it at Revolution Medicines, Inc., 700 Saginaw Drive, Redwood City, CA 94063, Attention: Chief Executive Officer and Chief Operating Officer, with a copy, which shall not constitute notice, to Latham &amp; Watkins LLP, 140 Scott Drive, Menlo Park, California 94025, Attention: Mark Roeder.</w:t>
      </w:r>
    </w:p>
    <w:p>
      <w:pPr>
        <w:spacing w:after="0" w:line="70" w:lineRule="exact"/>
        <w:rPr>
          <w:rFonts w:ascii="Arial" w:cs="Arial" w:eastAsia="Arial" w:hAnsi="Arial"/>
          <w:sz w:val="17"/>
          <w:szCs w:val="17"/>
          <w:color w:val="auto"/>
        </w:rPr>
      </w:pPr>
    </w:p>
    <w:p>
      <w:pPr>
        <w:ind w:right="320" w:firstLine="436"/>
        <w:spacing w:after="0" w:line="277"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This Agreement and any claim, controversy or dispute arising under or related to this Agreement shall be governed by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in accordance with the laws of the State of New York.</w:t>
      </w:r>
    </w:p>
    <w:p>
      <w:pPr>
        <w:spacing w:after="0" w:line="62" w:lineRule="exact"/>
        <w:rPr>
          <w:rFonts w:ascii="Arial" w:cs="Arial" w:eastAsia="Arial" w:hAnsi="Arial"/>
          <w:sz w:val="18"/>
          <w:szCs w:val="18"/>
          <w:color w:val="auto"/>
        </w:rPr>
      </w:pPr>
    </w:p>
    <w:p>
      <w:pPr>
        <w:ind w:right="20" w:firstLine="436"/>
        <w:spacing w:after="0" w:line="296" w:lineRule="auto"/>
        <w:tabs>
          <w:tab w:leader="none" w:pos="685"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 xml:space="preserve">Submission to Jurisdiction. </w:t>
      </w:r>
      <w:r>
        <w:rPr>
          <w:rFonts w:ascii="Arial" w:cs="Arial" w:eastAsia="Arial" w:hAnsi="Arial"/>
          <w:sz w:val="16"/>
          <w:szCs w:val="16"/>
          <w:color w:val="auto"/>
        </w:rPr>
        <w:t>The Company hereby submits to the exclusive jurisdiction of the U.S. federal and New York state courts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Borough of Manhattan in The City of New York in any suit or proceeding arising out of or relating to this Agreement or the transactions contemplated hereby. The Company waives any objection which it may now or hereafter have to the laying of venue of any such suit or proceeding in such courts. The Company agrees that final judgment in any such suit, action or proceeding brought in such court shall be conclusive and binding upon the Company and may be enforced in any court to the jurisdiction of which Company is subject by a suit upon such judgment.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16" w:name="page217"/>
    <w:bookmarkEnd w:id="216"/>
    <w:p>
      <w:pPr>
        <w:ind w:right="280" w:firstLine="436"/>
        <w:spacing w:after="0" w:line="277" w:lineRule="auto"/>
        <w:tabs>
          <w:tab w:leader="none" w:pos="695"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Waiver of Jury Trial. </w:t>
      </w:r>
      <w:r>
        <w:rPr>
          <w:rFonts w:ascii="Arial" w:cs="Arial" w:eastAsia="Arial" w:hAnsi="Arial"/>
          <w:sz w:val="18"/>
          <w:szCs w:val="18"/>
          <w:color w:val="auto"/>
        </w:rPr>
        <w:t>Each of the parties hereto hereby waives any right to trial by jury in any suit or proceeding arising out of or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62" w:lineRule="exact"/>
        <w:rPr>
          <w:rFonts w:ascii="Arial" w:cs="Arial" w:eastAsia="Arial" w:hAnsi="Arial"/>
          <w:sz w:val="18"/>
          <w:szCs w:val="18"/>
          <w:color w:val="auto"/>
        </w:rPr>
      </w:pPr>
    </w:p>
    <w:p>
      <w:pPr>
        <w:ind w:left="680" w:hanging="244"/>
        <w:spacing w:after="0"/>
        <w:tabs>
          <w:tab w:leader="none" w:pos="68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19"/>
        <w:spacing w:after="0" w:line="259" w:lineRule="auto"/>
        <w:tabs>
          <w:tab w:leader="none" w:pos="107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40" w:right="60" w:firstLine="419"/>
        <w:spacing w:after="0" w:line="259" w:lineRule="auto"/>
        <w:tabs>
          <w:tab w:leader="none" w:pos="112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in this Section 16(e):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ind w:left="1640" w:hanging="212"/>
        <w:spacing w:after="0"/>
        <w:tabs>
          <w:tab w:leader="none" w:pos="16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700" w:hanging="272"/>
        <w:spacing w:after="0"/>
        <w:tabs>
          <w:tab w:leader="none" w:pos="1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17" w:name="page218"/>
    <w:bookmarkEnd w:id="217"/>
    <w:p>
      <w:pPr>
        <w:ind w:left="-240" w:right="780" w:firstLine="436"/>
        <w:spacing w:after="0" w:line="342" w:lineRule="auto"/>
        <w:tabs>
          <w:tab w:leader="none" w:pos="425"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Counterparts. </w:t>
      </w:r>
      <w:r>
        <w:rPr>
          <w:rFonts w:ascii="Arial" w:cs="Arial" w:eastAsia="Arial" w:hAnsi="Arial"/>
          <w:sz w:val="16"/>
          <w:szCs w:val="16"/>
          <w:color w:val="auto"/>
        </w:rPr>
        <w:t>This Agreement may be signed in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and all of which together shall constitute one and the same instrument.</w:t>
      </w:r>
    </w:p>
    <w:p>
      <w:pPr>
        <w:spacing w:after="0" w:line="15" w:lineRule="exact"/>
        <w:rPr>
          <w:rFonts w:ascii="Arial" w:cs="Arial" w:eastAsia="Arial" w:hAnsi="Arial"/>
          <w:sz w:val="16"/>
          <w:szCs w:val="16"/>
          <w:color w:val="auto"/>
        </w:rPr>
      </w:pPr>
    </w:p>
    <w:p>
      <w:pPr>
        <w:ind w:left="-240" w:right="520" w:firstLine="436"/>
        <w:spacing w:after="0" w:line="277" w:lineRule="auto"/>
        <w:tabs>
          <w:tab w:leader="none" w:pos="455"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w:t>
      </w:r>
      <w:r>
        <w:rPr>
          <w:rFonts w:ascii="Arial" w:cs="Arial" w:eastAsia="Arial" w:hAnsi="Arial"/>
          <w:sz w:val="18"/>
          <w:szCs w:val="18"/>
          <w:i w:val="1"/>
          <w:iCs w:val="1"/>
          <w:color w:val="auto"/>
        </w:rPr>
        <w:t xml:space="preserve"> </w:t>
      </w:r>
      <w:r>
        <w:rPr>
          <w:rFonts w:ascii="Arial" w:cs="Arial" w:eastAsia="Arial" w:hAnsi="Arial"/>
          <w:sz w:val="18"/>
          <w:szCs w:val="18"/>
          <w:color w:val="auto"/>
        </w:rPr>
        <w:t>therefrom, shall in any event be effective unless the same shall be in writing and signed by the parties hereto.</w:t>
      </w:r>
    </w:p>
    <w:p>
      <w:pPr>
        <w:spacing w:after="0" w:line="62" w:lineRule="exact"/>
        <w:rPr>
          <w:rFonts w:ascii="Arial" w:cs="Arial" w:eastAsia="Arial" w:hAnsi="Arial"/>
          <w:sz w:val="18"/>
          <w:szCs w:val="18"/>
          <w:color w:val="auto"/>
        </w:rPr>
      </w:pPr>
    </w:p>
    <w:p>
      <w:pPr>
        <w:ind w:left="-240" w:firstLine="436"/>
        <w:spacing w:after="0" w:line="277" w:lineRule="auto"/>
        <w:tabs>
          <w:tab w:leader="none" w:pos="455"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20"/>
          </w:cols>
          <w:pgMar w:left="680" w:top="274" w:right="699" w:bottom="1440" w:gutter="0" w:footer="0" w:header="0"/>
        </w:sectPr>
      </w:pPr>
    </w:p>
    <w:bookmarkStart w:id="218" w:name="page219"/>
    <w:bookmarkEnd w:id="21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REVOLUTION MEDICINES,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on behalf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660"/>
          </w:cols>
          <w:pgMar w:left="440" w:top="274" w:right="799"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6995160" cy="145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386"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Sch. 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Schedule 1</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Number of Shares</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8960" w:space="720"/>
            <w:col w:w="1340"/>
          </w:cols>
          <w:pgMar w:left="440" w:top="274" w:right="4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Significant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Warp Drive Bio, Inc.</w:t>
      </w:r>
    </w:p>
    <w:p>
      <w:pPr>
        <w:sectPr>
          <w:pgSz w:w="11900" w:h="16838" w:orient="portrait"/>
          <w:cols w:equalWidth="0" w:num="1">
            <w:col w:w="11020"/>
          </w:cols>
          <w:pgMar w:left="440" w:top="274" w:right="4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Pricing Disclosure Package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Pricing Information Provided Orally by Underwriters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Price per Share: $[●]</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Number of Shares: [●] Underwritten Shares plus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 Option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A-1</w:t>
      </w:r>
    </w:p>
    <w:p>
      <w:pPr>
        <w:sectPr>
          <w:pgSz w:w="11900" w:h="16838" w:orient="portrait"/>
          <w:cols w:equalWidth="0" w:num="1">
            <w:col w:w="11020"/>
          </w:cols>
          <w:pgMar w:left="440" w:top="274" w:right="4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presentation dated June [●], 2020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ectPr>
          <w:pgSz w:w="11900" w:h="16838" w:orient="portrait"/>
          <w:cols w:equalWidth="0" w:num="1">
            <w:col w:w="11020"/>
          </w:cols>
          <w:pgMar w:left="440" w:top="274" w:right="4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Annex 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Revolution Medicines, Inc.</w:t>
      </w:r>
    </w:p>
    <w:p>
      <w:pPr>
        <w:spacing w:after="0" w:line="248" w:lineRule="exact"/>
        <w:rPr>
          <w:sz w:val="20"/>
          <w:szCs w:val="20"/>
          <w:color w:val="auto"/>
        </w:rPr>
      </w:pPr>
    </w:p>
    <w:p>
      <w:pPr>
        <w:jc w:val="center"/>
        <w:ind w:right="1020"/>
        <w:spacing w:after="0"/>
        <w:rPr>
          <w:sz w:val="20"/>
          <w:szCs w:val="20"/>
          <w:color w:val="auto"/>
        </w:rPr>
      </w:pPr>
      <w:r>
        <w:rPr>
          <w:rFonts w:ascii="Arial" w:cs="Arial" w:eastAsia="Arial" w:hAnsi="Arial"/>
          <w:sz w:val="18"/>
          <w:szCs w:val="18"/>
          <w:u w:val="single" w:color="auto"/>
          <w:color w:val="auto"/>
        </w:rPr>
        <w:t>Pricing Term Sheet</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Annex C-1</w:t>
      </w:r>
    </w:p>
    <w:p>
      <w:pPr>
        <w:sectPr>
          <w:pgSz w:w="11900" w:h="16838" w:orient="portrait"/>
          <w:cols w:equalWidth="0" w:num="1">
            <w:col w:w="10020"/>
          </w:cols>
          <w:pgMar w:left="1440" w:top="274" w:right="4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FORM OF LOCK-UP AGREEMENT</w:t>
      </w:r>
    </w:p>
    <w:p>
      <w:pPr>
        <w:spacing w:after="0" w:line="16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0020"/>
          </w:cols>
          <w:pgMar w:left="1440" w:top="274" w:right="4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LOCK-UP AGREEMENT</w:t>
      </w:r>
    </w:p>
    <w:p>
      <w:pPr>
        <w:spacing w:after="0" w:line="225" w:lineRule="exact"/>
        <w:rPr>
          <w:sz w:val="20"/>
          <w:szCs w:val="20"/>
          <w:color w:val="auto"/>
        </w:rPr>
      </w:pPr>
    </w:p>
    <w:p>
      <w:pPr>
        <w:ind w:left="9580"/>
        <w:spacing w:after="0"/>
        <w:rPr>
          <w:sz w:val="20"/>
          <w:szCs w:val="20"/>
          <w:color w:val="auto"/>
        </w:rPr>
      </w:pPr>
      <w:r>
        <w:rPr>
          <w:rFonts w:ascii="Arial" w:cs="Arial" w:eastAsia="Arial" w:hAnsi="Arial"/>
          <w:sz w:val="16"/>
          <w:szCs w:val="16"/>
          <w:color w:val="auto"/>
        </w:rPr>
        <w:t>___________,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SVB LEERINK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GUGGENHEIM SECURITIES,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 to the Underwriting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referred to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Leerink LLC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Guggenheim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Revolution Medicines, Inc.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The undersigned understands that you, as Representatives of the several Underwriters, propose to enter into an underwriting agreement (the “Underwriting Agreement”) with Revolution Medicines, Inc., a Delaware corporation (the “Company”), providing for the public offering (the “Public Offering”) by the several Underwriters named in Schedule 1 to the Underwriting Agreement (the “Underwriters”), of common stock, of the Company (the “Securities”) pursuant to a Registration Statement on Form S-1 to be filed with the Securities and Exchange Commission (the “SEC”). Capitalized terms used herein and not otherwise defined shall have the meanings set forth in the Underwriting Agreement.</w:t>
      </w:r>
    </w:p>
    <w:p>
      <w:pPr>
        <w:sectPr>
          <w:pgSz w:w="11900" w:h="16838" w:orient="portrait"/>
          <w:cols w:equalWidth="0" w:num="1">
            <w:col w:w="11020"/>
          </w:cols>
          <w:pgMar w:left="440" w:top="274" w:right="439" w:bottom="1440" w:gutter="0" w:footer="0" w:header="0"/>
        </w:sectPr>
      </w:pPr>
    </w:p>
    <w:bookmarkStart w:id="226" w:name="page227"/>
    <w:bookmarkEnd w:id="226"/>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consideration of the Underwriters’ agreement to purchase and make the Public Offering of the Securities, and for other good and valuable consideration, the receipt of which is hereby acknowledged, the undersigned hereby agrees that, without the prior written consent of J.P. Morgan Securities LLC on behalf of the several Underwriters, the undersigned will not, and will not cause any direct or indirect affiliate to, in each case subject to the exceptions set forth in this letter agreement (this “Letter Agreement”), during the period beginning on the date of this Letter Agreement and ending at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after the date of the final prospectus (such date of the final prospectus, the “Public Offering Date”)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Common Stock or any other Lock-Up Securities, in cash or otherwise or (3) make any demand for or exercise any right with respect to the registration of any Lock-Up Securities, or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(whether by the undersigned or someone other than the undersigned) or transfer of any economic consequences of ownership, in whole or in part, directly or indirectly, of any Lock-Up Securities, whether any such transaction or arrangement (or instrument provided for thereunder) would be settled by delivery of Common Stock or other securities, in cash or otherwise.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undersigned may:</w:t>
      </w:r>
    </w:p>
    <w:p>
      <w:pPr>
        <w:spacing w:after="0" w:line="117" w:lineRule="exact"/>
        <w:rPr>
          <w:sz w:val="20"/>
          <w:szCs w:val="20"/>
          <w:color w:val="auto"/>
        </w:rPr>
      </w:pPr>
    </w:p>
    <w:p>
      <w:pPr>
        <w:ind w:left="680" w:hanging="244"/>
        <w:spacing w:after="0"/>
        <w:tabs>
          <w:tab w:leader="none" w:pos="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transfer or dispose of the undersigned’s Lock-Up Securities:</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by will, other testamentary document or intestacy;</w:t>
      </w:r>
    </w:p>
    <w:p>
      <w:pPr>
        <w:spacing w:after="0" w:line="117" w:lineRule="exact"/>
        <w:rPr>
          <w:rFonts w:ascii="Arial" w:cs="Arial" w:eastAsia="Arial" w:hAnsi="Arial"/>
          <w:sz w:val="18"/>
          <w:szCs w:val="18"/>
          <w:color w:val="auto"/>
        </w:rPr>
      </w:pPr>
    </w:p>
    <w:p>
      <w:pPr>
        <w:ind w:firstLine="987"/>
        <w:spacing w:after="0" w:line="286" w:lineRule="auto"/>
        <w:tabs>
          <w:tab w:leader="none" w:pos="1306"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7" w:name="page228"/>
    <w:bookmarkEnd w:id="227"/>
    <w:p>
      <w:pPr>
        <w:ind w:firstLine="987"/>
        <w:spacing w:after="0" w:line="277" w:lineRule="auto"/>
        <w:tabs>
          <w:tab w:leader="none" w:pos="12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 partnership, limited liability company or other entity of which the undersigned and/or the immediate family of the undersigned are the legal and beneficial owner of all of the outstanding equity securities or similar interests;</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a nominee or custodian of a person or entity to whom a disposition or transfer would be permissible under clauses (i) through (iv)</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102" w:lineRule="exact"/>
        <w:rPr>
          <w:rFonts w:ascii="Arial" w:cs="Arial" w:eastAsia="Arial" w:hAnsi="Arial"/>
          <w:sz w:val="16"/>
          <w:szCs w:val="16"/>
          <w:color w:val="auto"/>
        </w:rPr>
      </w:pPr>
    </w:p>
    <w:p>
      <w:pPr>
        <w:ind w:right="60" w:firstLine="987"/>
        <w:spacing w:after="0" w:line="255" w:lineRule="auto"/>
        <w:tabs>
          <w:tab w:leader="none" w:pos="12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trust or other business entity, as part of a distribution to the members, partners, stockholders or other equityholders of the undersigned, or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84" w:lineRule="exact"/>
        <w:rPr>
          <w:rFonts w:ascii="Arial" w:cs="Arial" w:eastAsia="Arial" w:hAnsi="Arial"/>
          <w:sz w:val="18"/>
          <w:szCs w:val="18"/>
          <w:color w:val="auto"/>
        </w:rPr>
      </w:pPr>
    </w:p>
    <w:p>
      <w:pPr>
        <w:ind w:left="1340" w:hanging="353"/>
        <w:spacing w:after="0"/>
        <w:tabs>
          <w:tab w:leader="none" w:pos="13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by operation of law pursuant to a qualified domestic order, divorce settlement, divorce decree, separation agreement or other court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order;</w:t>
      </w:r>
    </w:p>
    <w:p>
      <w:pPr>
        <w:spacing w:after="0" w:line="102" w:lineRule="exact"/>
        <w:rPr>
          <w:rFonts w:ascii="Arial" w:cs="Arial" w:eastAsia="Arial" w:hAnsi="Arial"/>
          <w:sz w:val="16"/>
          <w:szCs w:val="16"/>
          <w:color w:val="auto"/>
        </w:rPr>
      </w:pPr>
    </w:p>
    <w:p>
      <w:pPr>
        <w:ind w:right="160" w:firstLine="987"/>
        <w:spacing w:after="0" w:line="277" w:lineRule="auto"/>
        <w:tabs>
          <w:tab w:leader="none" w:pos="139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the Company from an employee or other service provider of the Company in connection with the death, disability or termination of employment or service, in each case, of such employee or service provider;</w:t>
      </w:r>
    </w:p>
    <w:p>
      <w:pPr>
        <w:spacing w:after="0" w:line="62" w:lineRule="exact"/>
        <w:rPr>
          <w:rFonts w:ascii="Arial" w:cs="Arial" w:eastAsia="Arial" w:hAnsi="Arial"/>
          <w:sz w:val="18"/>
          <w:szCs w:val="18"/>
          <w:color w:val="auto"/>
        </w:rPr>
      </w:pPr>
    </w:p>
    <w:p>
      <w:pPr>
        <w:ind w:right="240" w:firstLine="987"/>
        <w:spacing w:after="0" w:line="275" w:lineRule="auto"/>
        <w:tabs>
          <w:tab w:leader="none" w:pos="1296"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to the Company to cover tax withholdings upon a vesting, exercise or settlement event of any equity award granted under a stock incentive plan, stock purchase plan or other equity award plan (such a plan, an “Equity Plan”) described in the Registration Statement, the Pricing Disclosure Package and the Prospectus (including the documents incorporated by reference therein), provided that any such shares of Common Stock received upon such vesting, exercise or settlement event (other than such shares as are transferred or surrendered to the Company in connection with such vesting, exercise or settlement event) shall be subject to the terms of this Letter Agreement;</w:t>
      </w:r>
    </w:p>
    <w:p>
      <w:pPr>
        <w:spacing w:after="0" w:line="68" w:lineRule="exact"/>
        <w:rPr>
          <w:rFonts w:ascii="Arial" w:cs="Arial" w:eastAsia="Arial" w:hAnsi="Arial"/>
          <w:sz w:val="17"/>
          <w:szCs w:val="17"/>
          <w:color w:val="auto"/>
        </w:rPr>
      </w:pPr>
    </w:p>
    <w:p>
      <w:pPr>
        <w:ind w:firstLine="987"/>
        <w:spacing w:after="0" w:line="254" w:lineRule="auto"/>
        <w:tabs>
          <w:tab w:leader="none" w:pos="12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8" w:name="page229"/>
    <w:bookmarkEnd w:id="228"/>
    <w:p>
      <w:pPr>
        <w:ind w:right="160" w:firstLine="987"/>
        <w:spacing w:after="0" w:line="277" w:lineRule="auto"/>
        <w:tabs>
          <w:tab w:leader="none" w:pos="1296"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sales of Common Stock made pursuant to a trading plan that complies with Rule 10b5-1 under the Exchange Act that has been entered into by the undersigned prior to the date of this Letter Agreement;</w:t>
      </w:r>
    </w:p>
    <w:p>
      <w:pPr>
        <w:spacing w:after="0" w:line="170"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case of any transfer, distribution or other disposition pursuant to clauses (a)(i), (ii), (iii), (iv), (v), (vi) and (vii), each donee, devisee, transferee or distributee shall execute and deliver to the Representatives a lock-up letter in the form of this Letter Agreement, (B) in the case of any transfer, distribution or other disposition pursuant to clauses (a)(i), (ii), (iii), (iv), (v) and (vi), no filing by any party (donor, donee, transferor, transferee, distributer or distributee) under the Securities Exchange Act of 1934, as amended (the “Exchange Act”), or other public announcement shall be required or shall be made voluntarily in connection with such transfer or distribution (other than a filing on a Form 5 made after the expiration of the Restricted Period referred to above or a filing on Schedule 13D, 13F or 13G that is required to be filed during the Restricted Period), (C) in the case of clauses (a)(i), (ii), (iii), (iv), (v) and (vi) above, such transfer shall not involve a disposition for value, and (D) in the case of any transfer or other disposition to the Company pursuant to clauses (a)(ix) and (xi), if the undersigned is required to make a filing under Section 16 of the Exchange Act reporting a reduction in the aggregate beneficial ownership of the undersigned’s Lock-Up Securities during the Restricted Period, the undersigned shall clearly indicate in the footnotes thereto that the filing relates to the circumstances described in clauses (a)(ix) or (xi), as the case may be, and no other public filing or announcement shall be required or shall be made voluntarily in connection with such transfer or other disposition;</w:t>
      </w:r>
    </w:p>
    <w:p>
      <w:pPr>
        <w:spacing w:after="0" w:line="64" w:lineRule="exact"/>
        <w:rPr>
          <w:sz w:val="20"/>
          <w:szCs w:val="20"/>
          <w:color w:val="auto"/>
        </w:rPr>
      </w:pPr>
    </w:p>
    <w:p>
      <w:pPr>
        <w:ind w:firstLine="436"/>
        <w:spacing w:after="0" w:line="259" w:lineRule="auto"/>
        <w:tabs>
          <w:tab w:leader="none" w:pos="69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establish one or more trading plans after the date of this Letter Agreement pursuant to Rule 10b5-1 under the Exchange Act for the transfer or disposition of Lock-Up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such plans do not provide for the transfer or disposition of Lock-Up Securities during the Restricted Period, and (2) no filing by any party under the Exchange Act or other public announcement shall be required or made voluntarily in connection with such trading plan during the Restricted Period; and</w:t>
      </w:r>
    </w:p>
    <w:p>
      <w:pPr>
        <w:spacing w:after="0" w:line="78" w:lineRule="exact"/>
        <w:rPr>
          <w:rFonts w:ascii="Arial" w:cs="Arial" w:eastAsia="Arial" w:hAnsi="Arial"/>
          <w:sz w:val="18"/>
          <w:szCs w:val="18"/>
          <w:color w:val="auto"/>
        </w:rPr>
      </w:pPr>
    </w:p>
    <w:p>
      <w:pPr>
        <w:ind w:firstLine="436"/>
        <w:spacing w:after="0" w:line="271" w:lineRule="auto"/>
        <w:tabs>
          <w:tab w:leader="none" w:pos="6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exercise an option to purchase shares of Common Stock granted under any Equity Plan described in the Registration Statement, the Pricing Disclosure Package and the Prospectus (including the documents incorporated by reference therein), either through cash or “cashless” exercise (the term “cashless” exercise being intended to mean the surrender of a portion of the option shares or previously owned shares to the Company to cover payment of the exercise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the underlying shares of Common Stock issued upon exercise (other than the shares surrendered to cover payment of the exercise price) shall continue to be subject to the restrictions on transfer set forth in this Letter Agreement, and (2) any filing under Section 16 of the Exchange Act reporting a reduction in the aggregate beneficial ownership of the undersigned’s Lock-Up Securities during the Restricted Period shall note the applicable circumstances that cause this exception to this Letter Agreement to apply, and no other public announcement shall be required or shall be made voluntarily in connection with such transfer.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29" w:name="page230"/>
    <w:bookmarkEnd w:id="229"/>
    <w:p>
      <w:pPr>
        <w:ind w:right="4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160" w:firstLine="440"/>
        <w:spacing w:after="0" w:line="275" w:lineRule="auto"/>
        <w:rPr>
          <w:sz w:val="20"/>
          <w:szCs w:val="20"/>
          <w:color w:val="auto"/>
        </w:rPr>
      </w:pPr>
      <w:r>
        <w:rPr>
          <w:rFonts w:ascii="Arial" w:cs="Arial" w:eastAsia="Arial" w:hAnsi="Arial"/>
          <w:sz w:val="17"/>
          <w:szCs w:val="17"/>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undersigned understands that, if either (i) J.P. Morgan Securities LLC or the Company informs the other, prior to the execution of the Underwriting Agreement, that it has determined not to proceed with the Public Offering, (ii) the Registration Statement is withdrawn, (iii) the Underwriting Agreement does not become effective by July 31, 2020, or (iv) the Underwriting Agreement (other than the provisions thereof which survive termination) shall terminate or be terminated prior to payment for and delivery of the Common Stock to be sold thereunder, this Letter Agreement shall automatically terminate and be of no further force and effect and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9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NATURAL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802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6"/>
          <w:szCs w:val="16"/>
          <w:i w:val="1"/>
          <w:iCs w:val="1"/>
          <w:color w:val="auto"/>
        </w:rPr>
        <w:t>(Duly authorized signature)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14605</wp:posOffset>
            </wp:positionV>
            <wp:extent cx="2802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6" w:lineRule="exact"/>
        <w:rPr>
          <w:sz w:val="20"/>
          <w:szCs w:val="20"/>
          <w:color w:val="auto"/>
        </w:rPr>
      </w:pPr>
    </w:p>
    <w:p>
      <w:pPr>
        <w:jc w:val="center"/>
        <w:ind w:left="600"/>
        <w:spacing w:after="0"/>
        <w:rPr>
          <w:sz w:val="20"/>
          <w:szCs w:val="20"/>
          <w:color w:val="auto"/>
        </w:rPr>
      </w:pPr>
      <w:r>
        <w:rPr>
          <w:rFonts w:ascii="Arial" w:cs="Arial" w:eastAsia="Arial" w:hAnsi="Arial"/>
          <w:sz w:val="18"/>
          <w:szCs w:val="18"/>
          <w:i w:val="1"/>
          <w:iCs w:val="1"/>
          <w:color w:val="auto"/>
        </w:rPr>
        <w:t>(Please print full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33000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ENTITY 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-504825</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31375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(Please print complete name of entity)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14605</wp:posOffset>
            </wp:positionV>
            <wp:extent cx="26574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right"/>
        <w:ind w:right="1100"/>
        <w:spacing w:after="0"/>
        <w:rPr>
          <w:sz w:val="20"/>
          <w:szCs w:val="20"/>
          <w:color w:val="auto"/>
        </w:rPr>
      </w:pPr>
      <w:r>
        <w:rPr>
          <w:rFonts w:ascii="Arial" w:cs="Arial" w:eastAsia="Arial" w:hAnsi="Arial"/>
          <w:sz w:val="18"/>
          <w:szCs w:val="18"/>
          <w:i w:val="1"/>
          <w:iCs w:val="1"/>
          <w:color w:val="auto"/>
        </w:rPr>
        <w:t>(Duly authorized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14605</wp:posOffset>
            </wp:positionV>
            <wp:extent cx="26574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(Please print full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14605</wp:posOffset>
            </wp:positionV>
            <wp:extent cx="26574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(Please print full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31375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4940"/>
          </w:cols>
          <w:pgMar w:left="440" w:top="274" w:right="43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E-mail:</w:t>
            </w:r>
          </w:p>
        </w:tc>
        <w:tc>
          <w:tcPr>
            <w:tcW w:w="4420" w:type="dxa"/>
            <w:vAlign w:val="bottom"/>
            <w:tcBorders>
              <w:top w:val="single" w:sz="8" w:color="auto"/>
              <w:bottom w:val="single" w:sz="8" w:color="auto"/>
            </w:tcBorders>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E-mail:</w:t>
            </w:r>
          </w:p>
        </w:tc>
        <w:tc>
          <w:tcPr>
            <w:tcW w:w="4200" w:type="dxa"/>
            <w:vAlign w:val="bottom"/>
            <w:tcBorders>
              <w:top w:val="single" w:sz="8" w:color="auto"/>
              <w:bottom w:val="single" w:sz="8" w:color="auto"/>
            </w:tcBorders>
          </w:tcPr>
          <w:p>
            <w:pPr>
              <w:spacing w:after="0"/>
              <w:rPr>
                <w:sz w:val="21"/>
                <w:szCs w:val="21"/>
                <w:color w:val="auto"/>
              </w:rPr>
            </w:pPr>
          </w:p>
        </w:tc>
      </w:tr>
      <w:tr>
        <w:trPr>
          <w:trHeight w:val="439"/>
        </w:trPr>
        <w:tc>
          <w:tcPr>
            <w:tcW w:w="780" w:type="dxa"/>
            <w:vAlign w:val="bottom"/>
          </w:tcPr>
          <w:p>
            <w:pPr>
              <w:spacing w:after="0"/>
              <w:rPr>
                <w:sz w:val="24"/>
                <w:szCs w:val="24"/>
                <w:color w:val="auto"/>
              </w:rPr>
            </w:pPr>
          </w:p>
        </w:tc>
        <w:tc>
          <w:tcPr>
            <w:tcW w:w="10240" w:type="dxa"/>
            <w:vAlign w:val="bottom"/>
            <w:gridSpan w:val="4"/>
          </w:tcPr>
          <w:p>
            <w:pPr>
              <w:ind w:left="2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Revolution Medicines, Inc. Lock-Up Agreement</w:t>
            </w:r>
            <w:r>
              <w:rPr>
                <w:rFonts w:ascii="Arial" w:cs="Arial" w:eastAsia="Arial" w:hAnsi="Arial"/>
                <w:sz w:val="18"/>
                <w:szCs w:val="18"/>
                <w:color w:val="auto"/>
              </w:rPr>
              <w:t>]</w:t>
            </w:r>
          </w:p>
        </w:tc>
      </w:tr>
    </w:tbl>
    <w:p>
      <w:pPr>
        <w:sectPr>
          <w:pgSz w:w="11900" w:h="16838" w:orient="portrait"/>
          <w:cols w:equalWidth="0" w:num="1">
            <w:col w:w="11020"/>
          </w:cols>
          <w:pgMar w:left="440" w:top="274" w:right="439" w:bottom="1440" w:gutter="0" w:footer="0" w:header="0"/>
          <w:type w:val="continuous"/>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1083310</wp:posOffset>
            </wp:positionV>
            <wp:extent cx="2425700" cy="2654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24257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Revolution Medicines,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700 Saginaw Drive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Redwood City, California 94063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140 Scott Drive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+1.650.328.4600 Fax: +1.650.463.2600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www.lw.com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2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Milan</w:t>
      </w:r>
    </w:p>
    <w:p>
      <w:pPr>
        <w:spacing w:after="0" w:line="1041" w:lineRule="exact"/>
        <w:rPr>
          <w:sz w:val="20"/>
          <w:szCs w:val="20"/>
          <w:color w:val="auto"/>
        </w:rPr>
      </w:pPr>
    </w:p>
    <w:p>
      <w:pPr>
        <w:sectPr>
          <w:pgSz w:w="11900" w:h="16838" w:orient="portrait"/>
          <w:cols w:equalWidth="0" w:num="2">
            <w:col w:w="6220" w:space="720"/>
            <w:col w:w="4080"/>
          </w:cols>
          <w:pgMar w:left="440" w:top="121" w:right="439" w:bottom="1440" w:gutter="0" w:footer="0" w:header="0"/>
        </w:sectPr>
      </w:pPr>
    </w:p>
    <w:p>
      <w:pPr>
        <w:spacing w:after="0" w:line="6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Form S-1 Registration Statement; Public Offering of up to 6,325,000 Shares of Common Stock of Revolution Medicines,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We have acted as special counsel to Revolution Medicines,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proposed issuance of up to 6,325,000 shares of common stock, $0.0001 par value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The Shares are included in a registration statement on Form S-1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July 6, 2020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This opinion is being furnished in connection with the requirements of Item 601(b)(5) of Regulation S-K under the Act, and no opinion is expressed herein as to any matter pertaining to the contents of the Registration Statement or related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other than as expressly stated herein with respect to the issue of the Shares.</w:t>
      </w:r>
    </w:p>
    <w:p>
      <w:pPr>
        <w:spacing w:after="0" w:line="178"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an exhibit to the Registration Statement, the issue and sale of the Shares will have been duly authorized by all necessary corporate action of the Company, and the</w:t>
      </w:r>
    </w:p>
    <w:p>
      <w:pPr>
        <w:sectPr>
          <w:pgSz w:w="11900" w:h="16838" w:orient="portrait"/>
          <w:cols w:equalWidth="0" w:num="1">
            <w:col w:w="11020"/>
          </w:cols>
          <w:pgMar w:left="440" w:top="121" w:right="439" w:bottom="1440" w:gutter="0" w:footer="0" w:header="0"/>
          <w:type w:val="continuous"/>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July 6,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671320"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1671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will be validly issued, fully paid and nonassessable. In rendering the foregoing opinion, we have assumed that the Company will comply with all applicable notice requirements regarding uncertificated shares provided in the DGCL.</w:t>
      </w:r>
    </w:p>
    <w:p>
      <w:pPr>
        <w:spacing w:after="0" w:line="170"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40"/>
          </w:cols>
          <w:pgMar w:left="440" w:top="270" w:right="51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June 17, 2020</w:t>
      </w:r>
    </w:p>
    <w:p>
      <w:pPr>
        <w:spacing w:after="0" w:line="225"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This Revolution Medicines,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Non-Employee Director Compensation Program (this “</w:t>
      </w:r>
      <w:r>
        <w:rPr>
          <w:rFonts w:ascii="Arial" w:cs="Arial" w:eastAsia="Arial" w:hAnsi="Arial"/>
          <w:sz w:val="16"/>
          <w:szCs w:val="16"/>
          <w:b w:val="1"/>
          <w:bCs w:val="1"/>
          <w:i w:val="1"/>
          <w:iCs w:val="1"/>
          <w:color w:val="auto"/>
        </w:rPr>
        <w:t>Program</w:t>
      </w:r>
      <w:r>
        <w:rPr>
          <w:rFonts w:ascii="Arial" w:cs="Arial" w:eastAsia="Arial" w:hAnsi="Arial"/>
          <w:sz w:val="16"/>
          <w:szCs w:val="16"/>
          <w:color w:val="auto"/>
        </w:rPr>
        <w:t>”) has been adopted under the Company’s 2020 Incentive Award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Capitalized terms not otherwise defined herein shall have the meaning ascribed in the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Annual retainers will be paid in the following amounts to Non-Employee Directors: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Audit Committee Chair:</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Nominating and Corporate Governance Committee Chair:</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 (non-Chair):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Compensation Committee Member (non-Chair):</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 (non-Chair):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ectPr>
          <w:pgSz w:w="11900" w:h="16838" w:orient="portrait"/>
          <w:cols w:equalWidth="0" w:num="1">
            <w:col w:w="11020"/>
          </w:cols>
          <w:pgMar w:left="440" w:top="121" w:right="4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Initial Awards: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Non-Employee Director who is initially elected or appointed to serve on the Board shall be granted (i) an Option under the Plan or any other applicable Company equity incentive plan then-maintained by the Company to purchase 25,318 shares of Common Stock (the “</w:t>
      </w:r>
      <w:r>
        <w:rPr>
          <w:rFonts w:ascii="Arial" w:cs="Arial" w:eastAsia="Arial" w:hAnsi="Arial"/>
          <w:sz w:val="17"/>
          <w:szCs w:val="17"/>
          <w:b w:val="1"/>
          <w:bCs w:val="1"/>
          <w:i w:val="1"/>
          <w:i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and (ii) 7,234 restricted stock units under the Plan or any other applicable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incentive plan then-maintained by the Company (the “</w:t>
      </w:r>
      <w:r>
        <w:rPr>
          <w:rFonts w:ascii="Arial" w:cs="Arial" w:eastAsia="Arial" w:hAnsi="Arial"/>
          <w:sz w:val="17"/>
          <w:szCs w:val="17"/>
          <w:b w:val="1"/>
          <w:bCs w:val="1"/>
          <w:i w:val="1"/>
          <w:iCs w:val="1"/>
          <w:color w:val="auto"/>
        </w:rPr>
        <w:t>Initial RSUs</w:t>
      </w:r>
      <w:r>
        <w:rPr>
          <w:rFonts w:ascii="Arial" w:cs="Arial" w:eastAsia="Arial" w:hAnsi="Arial"/>
          <w:sz w:val="17"/>
          <w:szCs w:val="17"/>
          <w:color w:val="auto"/>
        </w:rPr>
        <w:t>” and together with the Initial Option, the “</w:t>
      </w:r>
      <w:r>
        <w:rPr>
          <w:rFonts w:ascii="Arial" w:cs="Arial" w:eastAsia="Arial" w:hAnsi="Arial"/>
          <w:sz w:val="17"/>
          <w:szCs w:val="17"/>
          <w:b w:val="1"/>
          <w:bCs w:val="1"/>
          <w:i w:val="1"/>
          <w:iCs w:val="1"/>
          <w:color w:val="auto"/>
        </w:rPr>
        <w:t>Initial Awards</w:t>
      </w:r>
      <w:r>
        <w:rPr>
          <w:rFonts w:ascii="Arial" w:cs="Arial" w:eastAsia="Arial" w:hAnsi="Arial"/>
          <w:sz w:val="17"/>
          <w:szCs w:val="17"/>
          <w:color w:val="auto"/>
        </w:rPr>
        <w:t>”).</w:t>
      </w:r>
    </w:p>
    <w:p>
      <w:pPr>
        <w:sectPr>
          <w:pgSz w:w="11900" w:h="16838" w:orient="portrait"/>
          <w:cols w:equalWidth="0" w:num="2">
            <w:col w:w="3460" w:space="720"/>
            <w:col w:w="6840"/>
          </w:cols>
          <w:pgMar w:left="440" w:top="121" w:right="439" w:bottom="1440" w:gutter="0" w:footer="0" w:header="0"/>
          <w:type w:val="continuous"/>
        </w:sectPr>
      </w:pPr>
    </w:p>
    <w:bookmarkStart w:id="234" w:name="page235"/>
    <w:bookmarkEnd w:id="234"/>
    <w:p>
      <w:pPr>
        <w:ind w:left="4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Initial Option will be automatically granted on the date on which such Non-Employee Director commences service on the Board, and will vest as to 1/36</w:t>
      </w:r>
      <w:r>
        <w:rPr>
          <w:rFonts w:ascii="Arial" w:cs="Arial" w:eastAsia="Arial" w:hAnsi="Arial"/>
          <w:sz w:val="14"/>
          <w:szCs w:val="14"/>
          <w:color w:val="auto"/>
        </w:rPr>
        <w:t>th</w:t>
      </w:r>
      <w:r>
        <w:rPr>
          <w:rFonts w:ascii="Arial" w:cs="Arial" w:eastAsia="Arial" w:hAnsi="Arial"/>
          <w:sz w:val="17"/>
          <w:szCs w:val="17"/>
          <w:color w:val="auto"/>
        </w:rPr>
        <w:t xml:space="preserve"> of the shares subject thereto on each monthly anniversary of the applicable date of grant such that the shares subject to the Initial Option are fully vested on the third anniversary of the grant, subject to the Non-Employee Director continuing in service through each such vesting date.</w:t>
      </w:r>
    </w:p>
    <w:p>
      <w:pPr>
        <w:spacing w:after="0" w:line="203" w:lineRule="exact"/>
        <w:rPr>
          <w:sz w:val="20"/>
          <w:szCs w:val="20"/>
          <w:color w:val="auto"/>
        </w:rPr>
      </w:pPr>
    </w:p>
    <w:p>
      <w:pPr>
        <w:ind w:left="4180" w:right="200"/>
        <w:spacing w:after="0" w:line="273" w:lineRule="auto"/>
        <w:rPr>
          <w:sz w:val="20"/>
          <w:szCs w:val="20"/>
          <w:color w:val="auto"/>
        </w:rPr>
      </w:pPr>
      <w:r>
        <w:rPr>
          <w:rFonts w:ascii="Arial" w:cs="Arial" w:eastAsia="Arial" w:hAnsi="Arial"/>
          <w:sz w:val="17"/>
          <w:szCs w:val="17"/>
          <w:color w:val="auto"/>
        </w:rPr>
        <w:t>The Initial RSUs will be automatically granted on the date on which such Non-Employee Director commences service on the Board, and, subject to the Non-Employee Director continuing in service through each such vesting date, will vest in 12 substantially equal quarterly installments commencing on the first Quarterly Vesting Date (as defined below) following the grant date. For the purposes of this Program, a “</w:t>
      </w:r>
      <w:r>
        <w:rPr>
          <w:rFonts w:ascii="Arial" w:cs="Arial" w:eastAsia="Arial" w:hAnsi="Arial"/>
          <w:sz w:val="17"/>
          <w:szCs w:val="17"/>
          <w:b w:val="1"/>
          <w:bCs w:val="1"/>
          <w:i w:val="1"/>
          <w:iCs w:val="1"/>
          <w:color w:val="auto"/>
        </w:rPr>
        <w:t>Quarterly Vesting Date</w:t>
      </w:r>
      <w:r>
        <w:rPr>
          <w:rFonts w:ascii="Arial" w:cs="Arial" w:eastAsia="Arial" w:hAnsi="Arial"/>
          <w:sz w:val="17"/>
          <w:szCs w:val="17"/>
          <w:color w:val="auto"/>
        </w:rPr>
        <w:t>” shall mean March 15, June 15, September 15 or December 15.</w:t>
      </w:r>
    </w:p>
    <w:p>
      <w:pPr>
        <w:sectPr>
          <w:pgSz w:w="11900" w:h="16838" w:orient="portrait"/>
          <w:cols w:equalWidth="0" w:num="1">
            <w:col w:w="11020"/>
          </w:cols>
          <w:pgMar w:left="440" w:top="274" w:right="4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Annual Awards: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Each Non-Employee Director who has been serving on the Board for at least four months as of each meeting of the Company’s stockholders (each,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and will continue to serve as a Non-Employee Director immediately following such meeting, shall be granted (i) an Option under the Plan or any other applicable Company equity incentive plan then-maintained by the Company to purchase 12,659 shares of Common Stock (the “</w:t>
      </w:r>
      <w:r>
        <w:rPr>
          <w:rFonts w:ascii="Arial" w:cs="Arial" w:eastAsia="Arial" w:hAnsi="Arial"/>
          <w:sz w:val="17"/>
          <w:szCs w:val="17"/>
          <w:b w:val="1"/>
          <w:bCs w:val="1"/>
          <w:i w:val="1"/>
          <w:iCs w:val="1"/>
          <w:color w:val="auto"/>
        </w:rPr>
        <w:t>Annual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and (ii) 3,617 restricted stock units under the Plan or any other applicable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incentive plan then-maintained by the Company (the “</w:t>
      </w:r>
      <w:r>
        <w:rPr>
          <w:rFonts w:ascii="Arial" w:cs="Arial" w:eastAsia="Arial" w:hAnsi="Arial"/>
          <w:sz w:val="17"/>
          <w:szCs w:val="17"/>
          <w:b w:val="1"/>
          <w:bCs w:val="1"/>
          <w:i w:val="1"/>
          <w:iCs w:val="1"/>
          <w:color w:val="auto"/>
        </w:rPr>
        <w:t>Annual RSUs</w:t>
      </w:r>
      <w:r>
        <w:rPr>
          <w:rFonts w:ascii="Arial" w:cs="Arial" w:eastAsia="Arial" w:hAnsi="Arial"/>
          <w:sz w:val="17"/>
          <w:szCs w:val="17"/>
          <w:color w:val="auto"/>
        </w:rPr>
        <w:t>” and together with the Annual Option, the “</w:t>
      </w:r>
      <w:r>
        <w:rPr>
          <w:rFonts w:ascii="Arial" w:cs="Arial" w:eastAsia="Arial" w:hAnsi="Arial"/>
          <w:sz w:val="17"/>
          <w:szCs w:val="17"/>
          <w:b w:val="1"/>
          <w:bCs w:val="1"/>
          <w:i w:val="1"/>
          <w:iCs w:val="1"/>
          <w:color w:val="auto"/>
        </w:rPr>
        <w:t>Annual Awards</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460" w:space="720"/>
            <w:col w:w="6840"/>
          </w:cols>
          <w:pgMar w:left="440" w:top="274" w:right="439" w:bottom="1440" w:gutter="0" w:footer="0" w:header="0"/>
          <w:type w:val="continuous"/>
        </w:sectPr>
      </w:pPr>
    </w:p>
    <w:p>
      <w:pPr>
        <w:spacing w:after="0" w:line="5" w:lineRule="exact"/>
        <w:rPr>
          <w:sz w:val="20"/>
          <w:szCs w:val="20"/>
          <w:color w:val="auto"/>
        </w:rPr>
      </w:pPr>
    </w:p>
    <w:p>
      <w:pPr>
        <w:ind w:left="4180" w:right="140"/>
        <w:spacing w:after="0" w:line="279" w:lineRule="auto"/>
        <w:rPr>
          <w:sz w:val="20"/>
          <w:szCs w:val="20"/>
          <w:color w:val="auto"/>
        </w:rPr>
      </w:pPr>
      <w:r>
        <w:rPr>
          <w:rFonts w:ascii="Arial" w:cs="Arial" w:eastAsia="Arial" w:hAnsi="Arial"/>
          <w:sz w:val="17"/>
          <w:szCs w:val="17"/>
          <w:color w:val="auto"/>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in service through such vesting date.</w:t>
      </w:r>
    </w:p>
    <w:p>
      <w:pPr>
        <w:spacing w:after="0" w:line="198" w:lineRule="exact"/>
        <w:rPr>
          <w:sz w:val="20"/>
          <w:szCs w:val="20"/>
          <w:color w:val="auto"/>
        </w:rPr>
      </w:pPr>
    </w:p>
    <w:p>
      <w:pPr>
        <w:ind w:left="4180" w:right="20"/>
        <w:spacing w:after="0" w:line="257" w:lineRule="auto"/>
        <w:rPr>
          <w:sz w:val="20"/>
          <w:szCs w:val="20"/>
          <w:color w:val="auto"/>
        </w:rPr>
      </w:pPr>
      <w:r>
        <w:rPr>
          <w:rFonts w:ascii="Arial" w:cs="Arial" w:eastAsia="Arial" w:hAnsi="Arial"/>
          <w:sz w:val="18"/>
          <w:szCs w:val="18"/>
          <w:color w:val="auto"/>
        </w:rPr>
        <w:t>The Annual RSUs will be automatically granted on the date of the applicable Annual Meeting, and will vest in full on the earlier of (i) the first anniversary of the first Quarterly Vesting Date following the date of grant and (ii) immediately prior to the Annual Meeting following the date of grant, subject to the Non-Employee Director continuing in service through such vesting date.</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type w:val="continuous"/>
        </w:sectPr>
      </w:pPr>
    </w:p>
    <w:bookmarkStart w:id="235" w:name="page236"/>
    <w:bookmarkEnd w:id="23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per share exercise price of each Option granted to a Non-Employee Director shall equal the Fair Market Value of a share of Common Stock on the date the Option is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 of each Option granted to a Non-Employee Director shall be ten years from the date the Option is granted.</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 portion of the Initial Awards or Annual Awards which is unvested or unexercisable at the time of a Non-Employee Director’s termination of service shall become vested and exercisable thereafter.</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Members of the Board who are employees of the Company or any parent or subsidiary of the Company who subsequently terminate their service with the Company and any parent or subsidiary of the Company and remain on the Board will not receive Initial Awards, but to the extent that they are otherwise eligible, will be eligible to receive, after termination from service with the Company and any parent or subsidiary of the Company, Annual Awards as described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other provisions of the Plan shall apply to the Awards granted automatically pursuant to this Program, except to the extent such other provisions are inconsistent with this Program. All applicable terms of the Plan apply to this Program as if fully set forth herein, and all grants of Awards hereby are subject in all respects to the terms of the Plan (including Section 5.5 of the Plan limiting the sum of the grant date fair value of all equity-based Awards and the maximum amount that may become payable pursuant to all cash-based Awards that may be granted to a Service Provider (as defined in the Plan) as compensation for services as a Non-Employee Director during any calendar year to $1,000,000). The grant of any Award under this Program shall be made solely by and subject to the terms set forth in a written agreement in a form to be approved by the Board and duly executed by an executive officer of the Company.</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S-1 of Revolution Medicines, Inc. of our report dated March 30, 2020 relating to the financial statements, which appears in Revolution Medicines, Inc.’s Annual Report on Form 10-K for the year ended December 31, 2019. We also consent to the reference to us under the heading “Experts” in such Registration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1)"/>
      <w:numFmt w:val="decimal"/>
      <w:start w:val="1"/>
    </w:lvl>
  </w:abstractNum>
  <w:abstractNum w:abstractNumId="2">
    <w:nsid w:val="14330624"/>
    <w:multiLevelType w:val="hybridMultilevel"/>
    <w:lvl w:ilvl="0">
      <w:lvlJc w:val="left"/>
      <w:lvlText w:val="(%1)"/>
      <w:numFmt w:val="lowerRoman"/>
      <w:start w:val="2"/>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lowerRoman"/>
      <w:start w:val="3"/>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
      <w:numFmt w:val="bullet"/>
      <w:start w:val="1"/>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1)"/>
      <w:numFmt w:val="decimal"/>
      <w:start w:val="1"/>
    </w:lvl>
  </w:abstractNum>
  <w:abstractNum w:abstractNumId="12">
    <w:nsid w:val="76272110"/>
    <w:multiLevelType w:val="hybridMultilevel"/>
    <w:lvl w:ilvl="0">
      <w:lvlJc w:val="left"/>
      <w:lvlText w:val="(%1)"/>
      <w:numFmt w:val="decimal"/>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
      <w:numFmt w:val="bullet"/>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
      <w:numFmt w:val="bullet"/>
      <w:start w:val="1"/>
    </w:lvl>
  </w:abstractNum>
  <w:abstractNum w:abstractNumId="24">
    <w:nsid w:val="CC1016F"/>
    <w:multiLevelType w:val="hybridMultilevel"/>
    <w:lvl w:ilvl="0">
      <w:lvlJc w:val="left"/>
      <w:lvlText w:val="•"/>
      <w:numFmt w:val="bullet"/>
      <w:start w:val="1"/>
    </w:lvl>
  </w:abstractNum>
  <w:abstractNum w:abstractNumId="25">
    <w:nsid w:val="43F18422"/>
    <w:multiLevelType w:val="hybridMultilevel"/>
    <w:lvl w:ilvl="0">
      <w:lvlJc w:val="left"/>
      <w:lvlText w:val="•"/>
      <w:numFmt w:val="bullet"/>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
      <w:numFmt w:val="bullet"/>
      <w:start w:val="1"/>
    </w:lvl>
  </w:abstractNum>
  <w:abstractNum w:abstractNumId="42">
    <w:nsid w:val="7DE67713"/>
    <w:multiLevelType w:val="hybridMultilevel"/>
    <w:lvl w:ilvl="0">
      <w:lvlJc w:val="left"/>
      <w:lvlText w:val="•"/>
      <w:numFmt w:val="bullet"/>
      <w:start w:val="1"/>
    </w:lvl>
  </w:abstractNum>
  <w:abstractNum w:abstractNumId="43">
    <w:nsid w:val="555C55B5"/>
    <w:multiLevelType w:val="hybridMultilevel"/>
    <w:lvl w:ilvl="0">
      <w:lvlJc w:val="left"/>
      <w:lvlText w:val="•"/>
      <w:numFmt w:val="bullet"/>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1)"/>
      <w:numFmt w:val="lowerRoman"/>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1"/>
      <w:numFmt w:val="upperLetter"/>
      <w:start w:val="35"/>
    </w:lvl>
  </w:abstractNum>
  <w:abstractNum w:abstractNumId="71">
    <w:nsid w:val="2B0D8DBE"/>
    <w:multiLevelType w:val="hybridMultilevel"/>
    <w:lvl w:ilvl="0">
      <w:lvlJc w:val="left"/>
      <w:lvlText w:val="(%1)"/>
      <w:numFmt w:val="lowerLetter"/>
      <w:start w:val="1"/>
    </w:lvl>
  </w:abstractNum>
  <w:abstractNum w:abstractNumId="72">
    <w:nsid w:val="6C80EC70"/>
    <w:multiLevelType w:val="hybridMultilevel"/>
    <w:lvl w:ilvl="0">
      <w:lvlJc w:val="left"/>
      <w:lvlText w:val="%1)"/>
      <w:numFmt w:val="lowerLetter"/>
      <w:start w:val="2"/>
    </w:lvl>
  </w:abstractNum>
  <w:abstractNum w:abstractNumId="73">
    <w:nsid w:val="379E21B5"/>
    <w:multiLevelType w:val="hybridMultilevel"/>
    <w:lvl w:ilvl="0">
      <w:lvlJc w:val="left"/>
      <w:lvlText w:val="•"/>
      <w:numFmt w:val="bullet"/>
      <w:start w:val="1"/>
    </w:lvl>
  </w:abstractNum>
  <w:abstractNum w:abstractNumId="74">
    <w:nsid w:val="69E373"/>
    <w:multiLevelType w:val="hybridMultilevel"/>
    <w:lvl w:ilvl="0">
      <w:lvlJc w:val="left"/>
      <w:lvlText w:val="•"/>
      <w:numFmt w:val="bullet"/>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1)"/>
      <w:numFmt w:val="lowerRoman"/>
      <w:start w:val="3"/>
    </w:lvl>
  </w:abstractNum>
  <w:abstractNum w:abstractNumId="78">
    <w:nsid w:val="1DF029D3"/>
    <w:multiLevelType w:val="hybridMultilevel"/>
    <w:lvl w:ilvl="0">
      <w:lvlJc w:val="left"/>
      <w:lvlText w:val="%1."/>
      <w:numFmt w:val="decimal"/>
      <w:start w:val="144"/>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
      <w:numFmt w:val="bullet"/>
      <w:start w:val="1"/>
    </w:lvl>
  </w:abstractNum>
  <w:abstractNum w:abstractNumId="85">
    <w:nsid w:val="4F97E3E4"/>
    <w:multiLevelType w:val="hybridMultilevel"/>
    <w:lvl w:ilvl="0">
      <w:lvlJc w:val="left"/>
      <w:lvlText w:val="%1."/>
      <w:numFmt w:val="lowerRoman"/>
      <w:start w:val="1"/>
    </w:lvl>
  </w:abstractNum>
  <w:abstractNum w:abstractNumId="86">
    <w:nsid w:val="53B0A9E"/>
    <w:multiLevelType w:val="hybridMultilevel"/>
    <w:lvl w:ilvl="0">
      <w:lvlJc w:val="left"/>
      <w:lvlText w:val="•"/>
      <w:numFmt w:val="bullet"/>
      <w:start w:val="1"/>
    </w:lvl>
  </w:abstractNum>
  <w:abstractNum w:abstractNumId="87">
    <w:nsid w:val="34FD6B4F"/>
    <w:multiLevelType w:val="hybridMultilevel"/>
    <w:lvl w:ilvl="0">
      <w:lvlJc w:val="left"/>
      <w:lvlText w:val="(%1)"/>
      <w:numFmt w:val="lowerLetter"/>
      <w:start w:val="1"/>
    </w:lvl>
  </w:abstractNum>
  <w:abstractNum w:abstractNumId="88">
    <w:nsid w:val="5915FF32"/>
    <w:multiLevelType w:val="hybridMultilevel"/>
    <w:lvl w:ilvl="0">
      <w:lvlJc w:val="left"/>
      <w:lvlText w:val="(%1)"/>
      <w:numFmt w:val="lowerLetter"/>
      <w:start w:val="1"/>
    </w:lvl>
  </w:abstractNum>
  <w:abstractNum w:abstractNumId="89">
    <w:nsid w:val="56438D15"/>
    <w:multiLevelType w:val="hybridMultilevel"/>
    <w:lvl w:ilvl="0">
      <w:lvlJc w:val="left"/>
      <w:lvlText w:val="(%1)"/>
      <w:numFmt w:val="lowerRoman"/>
      <w:start w:val="1"/>
    </w:lvl>
  </w:abstractNum>
  <w:abstractNum w:abstractNumId="90">
    <w:nsid w:val="519E3149"/>
    <w:multiLevelType w:val="hybridMultilevel"/>
    <w:lvl w:ilvl="0">
      <w:lvlJc w:val="left"/>
      <w:lvlText w:val="(%1)"/>
      <w:numFmt w:val="lowerRoman"/>
      <w:start w:val="1"/>
    </w:lvl>
  </w:abstractNum>
  <w:abstractNum w:abstractNumId="91">
    <w:nsid w:val="2C6E4AFD"/>
    <w:multiLevelType w:val="hybridMultilevel"/>
    <w:lvl w:ilvl="0">
      <w:lvlJc w:val="left"/>
      <w:lvlText w:val="(%1)"/>
      <w:numFmt w:val="lowerRoman"/>
      <w:start w:val="2"/>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
      <w:numFmt w:val="bullet"/>
      <w:start w:val="1"/>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1)"/>
      <w:numFmt w:val="lowerLetter"/>
      <w:start w:val="2"/>
    </w:lvl>
  </w:abstractNum>
  <w:abstractNum w:abstractNumId="98">
    <w:nsid w:val="19E21BB2"/>
    <w:multiLevelType w:val="hybridMultilevel"/>
    <w:lvl w:ilvl="0">
      <w:lvlJc w:val="left"/>
      <w:lvlText w:val="%1."/>
      <w:numFmt w:val="decimal"/>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1."/>
      <w:numFmt w:val="decimal"/>
      <w:start w:val="1"/>
    </w:lvl>
  </w:abstractNum>
  <w:abstractNum w:abstractNumId="101">
    <w:nsid w:val="5399C654"/>
    <w:multiLevelType w:val="hybridMultilevel"/>
    <w:lvl w:ilvl="0">
      <w:lvlJc w:val="left"/>
      <w:lvlText w:val="%1."/>
      <w:numFmt w:val="decimal"/>
      <w:start w:val="2"/>
    </w:lvl>
  </w:abstractNum>
  <w:abstractNum w:abstractNumId="102">
    <w:nsid w:val="20EE1348"/>
    <w:multiLevelType w:val="hybridMultilevel"/>
    <w:lvl w:ilvl="0">
      <w:lvlJc w:val="left"/>
      <w:lvlText w:val="(%1)"/>
      <w:numFmt w:val="lowerLetter"/>
      <w:start w:val="2"/>
    </w:lvl>
  </w:abstractNum>
  <w:abstractNum w:abstractNumId="103">
    <w:nsid w:val="4427069A"/>
    <w:multiLevelType w:val="hybridMultilevel"/>
    <w:lvl w:ilvl="0">
      <w:lvlJc w:val="left"/>
      <w:lvlText w:val="%1"/>
      <w:numFmt w:val="decimal"/>
      <w:start w:val="1"/>
    </w:lvl>
    <w:lvl w:ilvl="1">
      <w:lvlJc w:val="left"/>
      <w:lvlText w:val="(%2)"/>
      <w:numFmt w:val="lowerLetter"/>
      <w:start w:val="4"/>
    </w:lvl>
  </w:abstractNum>
  <w:abstractNum w:abstractNumId="104">
    <w:nsid w:val="B37E80A"/>
    <w:multiLevelType w:val="hybridMultilevel"/>
    <w:lvl w:ilvl="0">
      <w:lvlJc w:val="left"/>
      <w:lvlText w:val="%1."/>
      <w:numFmt w:val="decimal"/>
      <w:start w:val="3"/>
    </w:lvl>
    <w:lvl w:ilvl="1">
      <w:lvlJc w:val="left"/>
      <w:lvlText w:val="(%2)"/>
      <w:numFmt w:val="lowerLetter"/>
      <w:start w:val="1"/>
    </w:lvl>
  </w:abstractNum>
  <w:abstractNum w:abstractNumId="105">
    <w:nsid w:val="2157F6BC"/>
    <w:multiLevelType w:val="hybridMultilevel"/>
    <w:lvl w:ilvl="0">
      <w:lvlJc w:val="left"/>
      <w:lvlText w:val="(%1)"/>
      <w:numFmt w:val="lowerLetter"/>
      <w:start w:val="3"/>
    </w:lvl>
  </w:abstractNum>
  <w:abstractNum w:abstractNumId="106">
    <w:nsid w:val="704E1DD5"/>
    <w:multiLevelType w:val="hybridMultilevel"/>
    <w:lvl w:ilvl="0">
      <w:lvlJc w:val="left"/>
      <w:lvlText w:val="(%1)"/>
      <w:numFmt w:val="lowerLetter"/>
      <w:start w:val="6"/>
    </w:lvl>
  </w:abstractNum>
  <w:abstractNum w:abstractNumId="107">
    <w:nsid w:val="57D2F10E"/>
    <w:multiLevelType w:val="hybridMultilevel"/>
    <w:lvl w:ilvl="0">
      <w:lvlJc w:val="left"/>
      <w:lvlText w:val="(%1)"/>
      <w:numFmt w:val="lowerLetter"/>
      <w:start w:val="8"/>
    </w:lvl>
  </w:abstractNum>
  <w:abstractNum w:abstractNumId="108">
    <w:nsid w:val="BFFAE18"/>
    <w:multiLevelType w:val="hybridMultilevel"/>
    <w:lvl w:ilvl="0">
      <w:lvlJc w:val="left"/>
      <w:lvlText w:val="(%1)"/>
      <w:numFmt w:val="lowerLetter"/>
      <w:start w:val="10"/>
    </w:lvl>
  </w:abstractNum>
  <w:abstractNum w:abstractNumId="109">
    <w:nsid w:val="E3E47A8"/>
    <w:multiLevelType w:val="hybridMultilevel"/>
    <w:lvl w:ilvl="0">
      <w:lvlJc w:val="left"/>
      <w:lvlText w:val="(%1)"/>
      <w:numFmt w:val="lowerLetter"/>
      <w:start w:val="13"/>
    </w:lvl>
  </w:abstractNum>
  <w:abstractNum w:abstractNumId="110">
    <w:nsid w:val="2E48F044"/>
    <w:multiLevelType w:val="hybridMultilevel"/>
    <w:lvl w:ilvl="0">
      <w:lvlJc w:val="left"/>
      <w:lvlText w:val="%1"/>
      <w:numFmt w:val="lowerLetter"/>
      <w:start w:val="1"/>
    </w:lvl>
    <w:lvl w:ilvl="1">
      <w:lvlJc w:val="left"/>
      <w:lvlText w:val="(%2)"/>
      <w:numFmt w:val="lowerLetter"/>
      <w:start w:val="18"/>
    </w:lvl>
  </w:abstractNum>
  <w:abstractNum w:abstractNumId="111">
    <w:nsid w:val="49D0FEAC"/>
    <w:multiLevelType w:val="hybridMultilevel"/>
    <w:lvl w:ilvl="0">
      <w:lvlJc w:val="left"/>
      <w:lvlText w:val="(%1)"/>
      <w:numFmt w:val="lowerLetter"/>
      <w:start w:val="9"/>
    </w:lvl>
    <w:lvl w:ilvl="1">
      <w:lvlJc w:val="left"/>
      <w:lvlText w:val="(%2)"/>
      <w:numFmt w:val="lowerLetter"/>
      <w:start w:val="19"/>
    </w:lvl>
  </w:abstractNum>
  <w:abstractNum w:abstractNumId="112">
    <w:nsid w:val="4BEE5A5B"/>
    <w:multiLevelType w:val="hybridMultilevel"/>
    <w:lvl w:ilvl="0">
      <w:lvlJc w:val="left"/>
      <w:lvlText w:val="%1"/>
      <w:numFmt w:val="lowerLetter"/>
      <w:start w:val="1"/>
    </w:lvl>
    <w:lvl w:ilvl="1">
      <w:lvlJc w:val="left"/>
      <w:lvlText w:val="(%2)"/>
      <w:numFmt w:val="lowerLetter"/>
      <w:start w:val="21"/>
    </w:lvl>
  </w:abstractNum>
  <w:abstractNum w:abstractNumId="113">
    <w:nsid w:val="5551B9F3"/>
    <w:multiLevelType w:val="hybridMultilevel"/>
    <w:lvl w:ilvl="0">
      <w:lvlJc w:val="left"/>
      <w:lvlText w:val="(%1)"/>
      <w:numFmt w:val="lowerLetter"/>
      <w:start w:val="25"/>
    </w:lvl>
    <w:lvl w:ilvl="1">
      <w:lvlJc w:val="left"/>
      <w:lvlText w:val="%2"/>
      <w:numFmt w:val="lowerLetter"/>
      <w:start w:val="1"/>
    </w:lvl>
  </w:abstractNum>
  <w:abstractNum w:abstractNumId="114">
    <w:nsid w:val="24F6AB8E"/>
    <w:multiLevelType w:val="hybridMultilevel"/>
    <w:lvl w:ilvl="0">
      <w:lvlJc w:val="left"/>
      <w:lvlText w:val="(%1)"/>
      <w:numFmt w:val="lowerLetter"/>
      <w:start w:val="24"/>
    </w:lvl>
  </w:abstractNum>
  <w:abstractNum w:abstractNumId="115">
    <w:nsid w:val="634C574C"/>
    <w:multiLevelType w:val="hybridMultilevel"/>
    <w:lvl w:ilvl="0">
      <w:lvlJc w:val="left"/>
      <w:lvlText w:val="%1"/>
      <w:numFmt w:val="lowerLetter"/>
      <w:start w:val="1"/>
    </w:lvl>
    <w:lvl w:ilvl="1">
      <w:lvlJc w:val="left"/>
      <w:lvlText w:val="(%2)"/>
      <w:numFmt w:val="lowerLetter"/>
      <w:start w:val="27"/>
    </w:lvl>
  </w:abstractNum>
  <w:abstractNum w:abstractNumId="116">
    <w:nsid w:val="24E99DD7"/>
    <w:multiLevelType w:val="hybridMultilevel"/>
    <w:lvl w:ilvl="0">
      <w:lvlJc w:val="left"/>
      <w:lvlText w:val="(%1)"/>
      <w:numFmt w:val="lowerLetter"/>
      <w:start w:val="25"/>
    </w:lvl>
    <w:lvl w:ilvl="1">
      <w:lvlJc w:val="left"/>
      <w:lvlText w:val="%2"/>
      <w:numFmt w:val="lowerLetter"/>
      <w:start w:val="1"/>
    </w:lvl>
  </w:abstractNum>
  <w:abstractNum w:abstractNumId="117">
    <w:nsid w:val="2A31B62D"/>
    <w:multiLevelType w:val="hybridMultilevel"/>
    <w:lvl w:ilvl="0">
      <w:lvlJc w:val="left"/>
      <w:lvlText w:val="(%1)"/>
      <w:numFmt w:val="lowerLetter"/>
      <w:start w:val="30"/>
    </w:lvl>
  </w:abstractNum>
  <w:abstractNum w:abstractNumId="118">
    <w:nsid w:val="1849C29B"/>
    <w:multiLevelType w:val="hybridMultilevel"/>
    <w:lvl w:ilvl="0">
      <w:lvlJc w:val="left"/>
      <w:lvlText w:val="%1"/>
      <w:numFmt w:val="lowerLetter"/>
      <w:start w:val="1"/>
    </w:lvl>
    <w:lvl w:ilvl="1">
      <w:lvlJc w:val="left"/>
      <w:lvlText w:val="(%2)"/>
      <w:numFmt w:val="lowerLetter"/>
      <w:start w:val="32"/>
    </w:lvl>
  </w:abstractNum>
  <w:abstractNum w:abstractNumId="119">
    <w:nsid w:val="7DFF9D09"/>
    <w:multiLevelType w:val="hybridMultilevel"/>
    <w:lvl w:ilvl="0">
      <w:lvlJc w:val="left"/>
      <w:lvlText w:val="(%1)"/>
      <w:numFmt w:val="lowerLetter"/>
      <w:start w:val="9"/>
    </w:lvl>
    <w:lvl w:ilvl="1">
      <w:lvlJc w:val="left"/>
      <w:lvlText w:val="%2"/>
      <w:numFmt w:val="lowerLetter"/>
      <w:start w:val="1"/>
    </w:lvl>
  </w:abstractNum>
  <w:abstractNum w:abstractNumId="120">
    <w:nsid w:val="754342"/>
    <w:multiLevelType w:val="hybridMultilevel"/>
    <w:lvl w:ilvl="0">
      <w:lvlJc w:val="left"/>
      <w:lvlText w:val="(%1)"/>
      <w:numFmt w:val="lowerLetter"/>
      <w:start w:val="22"/>
    </w:lvl>
    <w:lvl w:ilvl="1">
      <w:lvlJc w:val="left"/>
      <w:lvlText w:val="(%2)"/>
      <w:numFmt w:val="lowerLetter"/>
      <w:start w:val="33"/>
    </w:lvl>
  </w:abstractNum>
  <w:abstractNum w:abstractNumId="121">
    <w:nsid w:val="69E7F3E5"/>
    <w:multiLevelType w:val="hybridMultilevel"/>
    <w:lvl w:ilvl="0">
      <w:lvlJc w:val="left"/>
      <w:lvlText w:val="(%1)"/>
      <w:numFmt w:val="lowerLetter"/>
      <w:start w:val="35"/>
    </w:lvl>
  </w:abstractNum>
  <w:abstractNum w:abstractNumId="122">
    <w:nsid w:val="2A6DE806"/>
    <w:multiLevelType w:val="hybridMultilevel"/>
    <w:lvl w:ilvl="0">
      <w:lvlJc w:val="left"/>
      <w:lvlText w:val="%1"/>
      <w:numFmt w:val="lowerLetter"/>
      <w:start w:val="1"/>
    </w:lvl>
    <w:lvl w:ilvl="1">
      <w:lvlJc w:val="left"/>
      <w:lvlText w:val="(%2)"/>
      <w:numFmt w:val="lowerLetter"/>
      <w:start w:val="37"/>
    </w:lvl>
  </w:abstractNum>
  <w:abstractNum w:abstractNumId="123">
    <w:nsid w:val="1816F8C4"/>
    <w:multiLevelType w:val="hybridMultilevel"/>
    <w:lvl w:ilvl="0">
      <w:lvlJc w:val="left"/>
      <w:lvlText w:val="(%1)"/>
      <w:numFmt w:val="lowerLetter"/>
      <w:start w:val="9"/>
    </w:lvl>
    <w:lvl w:ilvl="1">
      <w:lvlJc w:val="left"/>
      <w:lvlText w:val="%2"/>
      <w:numFmt w:val="lowerLetter"/>
      <w:start w:val="1"/>
    </w:lvl>
  </w:abstractNum>
  <w:abstractNum w:abstractNumId="124">
    <w:nsid w:val="37DF2233"/>
    <w:multiLevelType w:val="hybridMultilevel"/>
    <w:lvl w:ilvl="0">
      <w:lvlJc w:val="left"/>
      <w:lvlText w:val="(%1)"/>
      <w:numFmt w:val="lowerLetter"/>
      <w:start w:val="39"/>
    </w:lvl>
  </w:abstractNum>
  <w:abstractNum w:abstractNumId="125">
    <w:nsid w:val="7AB49DAF"/>
    <w:multiLevelType w:val="hybridMultilevel"/>
    <w:lvl w:ilvl="0">
      <w:lvlJc w:val="left"/>
      <w:lvlText w:val="(%1)"/>
      <w:numFmt w:val="lowerLetter"/>
      <w:start w:val="47"/>
    </w:lvl>
  </w:abstractNum>
  <w:abstractNum w:abstractNumId="126">
    <w:nsid w:val="759F82CD"/>
    <w:multiLevelType w:val="hybridMultilevel"/>
    <w:lvl w:ilvl="0">
      <w:lvlJc w:val="left"/>
      <w:lvlText w:val="%1."/>
      <w:numFmt w:val="decimal"/>
      <w:start w:val="4"/>
    </w:lvl>
    <w:lvl w:ilvl="1">
      <w:lvlJc w:val="left"/>
      <w:lvlText w:val="(%2)"/>
      <w:numFmt w:val="lowerLetter"/>
      <w:start w:val="1"/>
    </w:lvl>
  </w:abstractNum>
  <w:abstractNum w:abstractNumId="127">
    <w:nsid w:val="61E74EA3"/>
    <w:multiLevelType w:val="hybridMultilevel"/>
    <w:lvl w:ilvl="0">
      <w:lvlJc w:val="left"/>
      <w:lvlText w:val="(%1)"/>
      <w:numFmt w:val="lowerLetter"/>
      <w:start w:val="5"/>
    </w:lvl>
  </w:abstractNum>
  <w:abstractNum w:abstractNumId="128">
    <w:nsid w:val="597B4D84"/>
    <w:multiLevelType w:val="hybridMultilevel"/>
    <w:lvl w:ilvl="0">
      <w:lvlJc w:val="left"/>
      <w:lvlText w:val="%1"/>
      <w:numFmt w:val="lowerLetter"/>
      <w:start w:val="1"/>
    </w:lvl>
    <w:lvl w:ilvl="1">
      <w:lvlJc w:val="left"/>
      <w:lvlText w:val="(%2)"/>
      <w:numFmt w:val="lowerLetter"/>
      <w:start w:val="6"/>
    </w:lvl>
  </w:abstractNum>
  <w:abstractNum w:abstractNumId="129">
    <w:nsid w:val="F819E7F"/>
    <w:multiLevelType w:val="hybridMultilevel"/>
    <w:lvl w:ilvl="0">
      <w:lvlJc w:val="left"/>
      <w:lvlText w:val="(%1)"/>
      <w:numFmt w:val="lowerLetter"/>
      <w:start w:val="61"/>
    </w:lvl>
    <w:lvl w:ilvl="1">
      <w:lvlJc w:val="left"/>
      <w:lvlText w:val="(%2)"/>
      <w:numFmt w:val="lowerLetter"/>
      <w:start w:val="7"/>
    </w:lvl>
  </w:abstractNum>
  <w:abstractNum w:abstractNumId="130">
    <w:nsid w:val="57C7D42D"/>
    <w:multiLevelType w:val="hybridMultilevel"/>
    <w:lvl w:ilvl="0">
      <w:lvlJc w:val="left"/>
      <w:lvlText w:val="(%1)"/>
      <w:numFmt w:val="lowerLetter"/>
      <w:start w:val="9"/>
    </w:lvl>
  </w:abstractNum>
  <w:abstractNum w:abstractNumId="131">
    <w:nsid w:val="312167AD"/>
    <w:multiLevelType w:val="hybridMultilevel"/>
    <w:lvl w:ilvl="0">
      <w:lvlJc w:val="left"/>
      <w:lvlText w:val="(%1)"/>
      <w:numFmt w:val="lowerLetter"/>
      <w:start w:val="17"/>
    </w:lvl>
  </w:abstractNum>
  <w:abstractNum w:abstractNumId="132">
    <w:nsid w:val="631B64D4"/>
    <w:multiLevelType w:val="hybridMultilevel"/>
    <w:lvl w:ilvl="0">
      <w:lvlJc w:val="left"/>
      <w:lvlText w:val="%1"/>
      <w:numFmt w:val="decimal"/>
      <w:start w:val="1"/>
    </w:lvl>
    <w:lvl w:ilvl="1">
      <w:lvlJc w:val="left"/>
      <w:lvlText w:val="(%2)"/>
      <w:numFmt w:val="lowerLetter"/>
      <w:start w:val="18"/>
    </w:lvl>
  </w:abstractNum>
  <w:abstractNum w:abstractNumId="133">
    <w:nsid w:val="78B5E776"/>
    <w:multiLevelType w:val="hybridMultilevel"/>
    <w:lvl w:ilvl="0">
      <w:lvlJc w:val="left"/>
      <w:lvlText w:val="%1."/>
      <w:numFmt w:val="decimal"/>
      <w:start w:val="5"/>
    </w:lvl>
    <w:lvl w:ilvl="1">
      <w:lvlJc w:val="left"/>
      <w:lvlText w:val="(%2)"/>
      <w:numFmt w:val="lowerLetter"/>
      <w:start w:val="1"/>
    </w:lvl>
  </w:abstractNum>
  <w:abstractNum w:abstractNumId="134">
    <w:nsid w:val="75486E47"/>
    <w:multiLevelType w:val="hybridMultilevel"/>
    <w:lvl w:ilvl="0">
      <w:lvlJc w:val="left"/>
      <w:lvlText w:val="%1."/>
      <w:numFmt w:val="decimal"/>
      <w:start w:val="6"/>
    </w:lvl>
    <w:lvl w:ilvl="1">
      <w:lvlJc w:val="left"/>
      <w:lvlText w:val="(%2)"/>
      <w:numFmt w:val="lowerLetter"/>
      <w:start w:val="1"/>
    </w:lvl>
  </w:abstractNum>
  <w:abstractNum w:abstractNumId="135">
    <w:nsid w:val="6E534CDE"/>
    <w:multiLevelType w:val="hybridMultilevel"/>
    <w:lvl w:ilvl="0">
      <w:lvlJc w:val="left"/>
      <w:lvlText w:val="(%1)"/>
      <w:numFmt w:val="lowerLetter"/>
      <w:start w:val="5"/>
    </w:lvl>
    <w:lvl w:ilvl="1">
      <w:lvlJc w:val="left"/>
      <w:lvlText w:val="(%2)"/>
      <w:numFmt w:val="lowerRoman"/>
      <w:start w:val="1"/>
    </w:lvl>
  </w:abstractNum>
  <w:abstractNum w:abstractNumId="136">
    <w:nsid w:val="1A0DDE32"/>
    <w:multiLevelType w:val="hybridMultilevel"/>
    <w:lvl w:ilvl="0">
      <w:lvlJc w:val="left"/>
      <w:lvlText w:val="(%1)"/>
      <w:numFmt w:val="lowerLetter"/>
      <w:start w:val="10"/>
    </w:lvl>
  </w:abstractNum>
  <w:abstractNum w:abstractNumId="137">
    <w:nsid w:val="65968C1C"/>
    <w:multiLevelType w:val="hybridMultilevel"/>
    <w:lvl w:ilvl="0">
      <w:lvlJc w:val="left"/>
      <w:lvlText w:val="%1."/>
      <w:numFmt w:val="decimal"/>
      <w:start w:val="7"/>
    </w:lvl>
  </w:abstractNum>
  <w:abstractNum w:abstractNumId="138">
    <w:nsid w:val="46263DEC"/>
    <w:multiLevelType w:val="hybridMultilevel"/>
    <w:lvl w:ilvl="0">
      <w:lvlJc w:val="left"/>
      <w:lvlText w:val="%1"/>
      <w:numFmt w:val="lowerLetter"/>
      <w:start w:val="1"/>
    </w:lvl>
    <w:lvl w:ilvl="1">
      <w:lvlJc w:val="left"/>
      <w:lvlText w:val="(%2)"/>
      <w:numFmt w:val="lowerLetter"/>
      <w:start w:val="1"/>
    </w:lvl>
  </w:abstractNum>
  <w:abstractNum w:abstractNumId="139">
    <w:nsid w:val="260D8C4A"/>
    <w:multiLevelType w:val="hybridMultilevel"/>
    <w:lvl w:ilvl="0">
      <w:lvlJc w:val="left"/>
      <w:lvlText w:val="(%1)"/>
      <w:numFmt w:val="lowerLetter"/>
      <w:start w:val="35"/>
    </w:lvl>
    <w:lvl w:ilvl="1">
      <w:lvlJc w:val="left"/>
      <w:lvlText w:val="%2"/>
      <w:numFmt w:val="lowerLetter"/>
      <w:start w:val="1"/>
    </w:lvl>
  </w:abstractNum>
  <w:abstractNum w:abstractNumId="140">
    <w:nsid w:val="73D4D3C4"/>
    <w:multiLevelType w:val="hybridMultilevel"/>
    <w:lvl w:ilvl="0">
      <w:lvlJc w:val="left"/>
      <w:lvlText w:val="(%1)"/>
      <w:numFmt w:val="lowerLetter"/>
      <w:start w:val="2"/>
    </w:lvl>
  </w:abstractNum>
  <w:abstractNum w:abstractNumId="141">
    <w:nsid w:val="746F2E30"/>
    <w:multiLevelType w:val="hybridMultilevel"/>
    <w:lvl w:ilvl="0">
      <w:lvlJc w:val="left"/>
      <w:lvlText w:val="(%1)"/>
      <w:numFmt w:val="lowerLetter"/>
      <w:start w:val="4"/>
    </w:lvl>
  </w:abstractNum>
  <w:abstractNum w:abstractNumId="142">
    <w:nsid w:val="6FDE8AF6"/>
    <w:multiLevelType w:val="hybridMultilevel"/>
    <w:lvl w:ilvl="0">
      <w:lvlJc w:val="left"/>
      <w:lvlText w:val="%1"/>
      <w:numFmt w:val="lowerLetter"/>
      <w:start w:val="1"/>
    </w:lvl>
    <w:lvl w:ilvl="1">
      <w:lvlJc w:val="left"/>
      <w:lvlText w:val="(%2)"/>
      <w:numFmt w:val="lowerLetter"/>
      <w:start w:val="5"/>
    </w:lvl>
  </w:abstractNum>
  <w:abstractNum w:abstractNumId="143">
    <w:nsid w:val="3FC32E20"/>
    <w:multiLevelType w:val="hybridMultilevel"/>
    <w:lvl w:ilvl="0">
      <w:lvlJc w:val="left"/>
      <w:lvlText w:val="(%1)"/>
      <w:numFmt w:val="lowerLetter"/>
      <w:start w:val="4"/>
    </w:lvl>
    <w:lvl w:ilvl="1">
      <w:lvlJc w:val="left"/>
      <w:lvlText w:val="(%2)"/>
      <w:numFmt w:val="lowerLetter"/>
      <w:start w:val="6"/>
    </w:lvl>
  </w:abstractNum>
  <w:abstractNum w:abstractNumId="144">
    <w:nsid w:val="49C0E823"/>
    <w:multiLevelType w:val="hybridMultilevel"/>
    <w:lvl w:ilvl="0">
      <w:lvlJc w:val="left"/>
      <w:lvlText w:val="%1"/>
      <w:numFmt w:val="lowerRoman"/>
      <w:start w:val="1"/>
    </w:lvl>
    <w:lvl w:ilvl="1">
      <w:lvlJc w:val="left"/>
      <w:lvlText w:val="%2."/>
      <w:numFmt w:val="decimal"/>
      <w:start w:val="8"/>
    </w:lvl>
  </w:abstractNum>
  <w:abstractNum w:abstractNumId="145">
    <w:nsid w:val="14D53685"/>
    <w:multiLevelType w:val="hybridMultilevel"/>
    <w:lvl w:ilvl="0">
      <w:lvlJc w:val="left"/>
      <w:lvlText w:val="(%1)"/>
      <w:numFmt w:val="lowerRoman"/>
      <w:start w:val="1"/>
    </w:lvl>
    <w:lvl w:ilvl="1">
      <w:lvlJc w:val="left"/>
      <w:lvlText w:val="%2"/>
      <w:numFmt w:val="decimal"/>
      <w:start w:val="1"/>
    </w:lvl>
  </w:abstractNum>
  <w:abstractNum w:abstractNumId="146">
    <w:nsid w:val="230F856C"/>
    <w:multiLevelType w:val="hybridMultilevel"/>
    <w:lvl w:ilvl="0">
      <w:lvlJc w:val="left"/>
      <w:lvlText w:val="%1."/>
      <w:numFmt w:val="decimal"/>
      <w:start w:val="10"/>
    </w:lvl>
  </w:abstractNum>
  <w:abstractNum w:abstractNumId="147">
    <w:nsid w:val="6EAA85FB"/>
    <w:multiLevelType w:val="hybridMultilevel"/>
    <w:lvl w:ilvl="0">
      <w:lvlJc w:val="left"/>
      <w:lvlText w:val="(%1)"/>
      <w:numFmt w:val="lowerLetter"/>
      <w:start w:val="1"/>
    </w:lvl>
  </w:abstractNum>
  <w:abstractNum w:abstractNumId="148">
    <w:nsid w:val="3F06ECB2"/>
    <w:multiLevelType w:val="hybridMultilevel"/>
    <w:lvl w:ilvl="0">
      <w:lvlJc w:val="left"/>
      <w:lvlText w:val="(%1)"/>
      <w:numFmt w:val="lowerLetter"/>
      <w:start w:val="4"/>
    </w:lvl>
  </w:abstractNum>
  <w:abstractNum w:abstractNumId="149">
    <w:nsid w:val="3B594807"/>
    <w:multiLevelType w:val="hybridMultilevel"/>
    <w:lvl w:ilvl="0">
      <w:lvlJc w:val="left"/>
      <w:lvlText w:val="%1."/>
      <w:numFmt w:val="decimal"/>
      <w:start w:val="11"/>
    </w:lvl>
  </w:abstractNum>
  <w:abstractNum w:abstractNumId="150">
    <w:nsid w:val="6CAA2304"/>
    <w:multiLevelType w:val="hybridMultilevel"/>
    <w:lvl w:ilvl="0">
      <w:lvlJc w:val="left"/>
      <w:lvlText w:val="(%1)"/>
      <w:numFmt w:val="lowerLetter"/>
      <w:start w:val="1"/>
    </w:lvl>
  </w:abstractNum>
  <w:abstractNum w:abstractNumId="151">
    <w:nsid w:val="3F7C2FF4"/>
    <w:multiLevelType w:val="hybridMultilevel"/>
    <w:lvl w:ilvl="0">
      <w:lvlJc w:val="left"/>
      <w:lvlText w:val="%1."/>
      <w:numFmt w:val="decimal"/>
      <w:start w:val="12"/>
    </w:lvl>
  </w:abstractNum>
  <w:abstractNum w:abstractNumId="152">
    <w:nsid w:val="25413BEC"/>
    <w:multiLevelType w:val="hybridMultilevel"/>
    <w:lvl w:ilvl="0">
      <w:lvlJc w:val="left"/>
      <w:lvlText w:val="%1."/>
      <w:numFmt w:val="decimal"/>
      <w:start w:val="13"/>
    </w:lvl>
  </w:abstractNum>
  <w:abstractNum w:abstractNumId="153">
    <w:nsid w:val="17180B0B"/>
    <w:multiLevelType w:val="hybridMultilevel"/>
    <w:lvl w:ilvl="0">
      <w:lvlJc w:val="left"/>
      <w:lvlText w:val="(%1)"/>
      <w:numFmt w:val="lowerLetter"/>
      <w:start w:val="1"/>
    </w:lvl>
  </w:abstractNum>
  <w:abstractNum w:abstractNumId="154">
    <w:nsid w:val="579328B9"/>
    <w:multiLevelType w:val="hybridMultilevel"/>
    <w:lvl w:ilvl="0">
      <w:lvlJc w:val="left"/>
      <w:lvlText w:val="(%1)"/>
      <w:numFmt w:val="lowerLetter"/>
      <w:start w:val="4"/>
    </w:lvl>
    <w:lvl w:ilvl="1">
      <w:lvlJc w:val="left"/>
      <w:lvlText w:val="(%2)"/>
      <w:numFmt w:val="lowerRoman"/>
      <w:start w:val="1"/>
    </w:lvl>
  </w:abstractNum>
  <w:abstractNum w:abstractNumId="155">
    <w:nsid w:val="5D205E20"/>
    <w:multiLevelType w:val="hybridMultilevel"/>
    <w:lvl w:ilvl="0">
      <w:lvlJc w:val="left"/>
      <w:lvlText w:val="(%1)"/>
      <w:numFmt w:val="lowerRoman"/>
      <w:start w:val="1"/>
    </w:lvl>
  </w:abstractNum>
  <w:abstractNum w:abstractNumId="156">
    <w:nsid w:val="11CCA8BA"/>
    <w:multiLevelType w:val="hybridMultilevel"/>
    <w:lvl w:ilvl="0">
      <w:lvlJc w:val="left"/>
      <w:lvlText w:val="(%1)"/>
      <w:numFmt w:val="lowerLetter"/>
      <w:start w:val="6"/>
    </w:lvl>
  </w:abstractNum>
  <w:abstractNum w:abstractNumId="157">
    <w:nsid w:val="4D32AB86"/>
    <w:multiLevelType w:val="hybridMultilevel"/>
    <w:lvl w:ilvl="0">
      <w:lvlJc w:val="left"/>
      <w:lvlText w:val="(%1)"/>
      <w:numFmt w:val="lowerLetter"/>
      <w:start w:val="1"/>
    </w:lvl>
    <w:lvl w:ilvl="1">
      <w:lvlJc w:val="left"/>
      <w:lvlText w:val="(%2)"/>
      <w:numFmt w:val="lowerRoman"/>
      <w:start w:val="1"/>
    </w:lvl>
  </w:abstractNum>
  <w:abstractNum w:abstractNumId="158">
    <w:nsid w:val="3F07ACC3"/>
    <w:multiLevelType w:val="hybridMultilevel"/>
    <w:lvl w:ilvl="0">
      <w:lvlJc w:val="left"/>
      <w:lvlText w:val="(%1)"/>
      <w:numFmt w:val="lowerRoman"/>
      <w:start w:val="4"/>
    </w:lvl>
  </w:abstractNum>
  <w:abstractNum w:abstractNumId="159">
    <w:nsid w:val="6B47F63E"/>
    <w:multiLevelType w:val="hybridMultilevel"/>
    <w:lvl w:ilvl="0">
      <w:lvlJc w:val="left"/>
      <w:lvlText w:val="(%1)"/>
      <w:numFmt w:val="lowerRoman"/>
      <w:start w:val="11"/>
    </w:lvl>
  </w:abstractNum>
  <w:abstractNum w:abstractNumId="160">
    <w:nsid w:val="5CB44A0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jpe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jpeg"/><Relationship Id="rId383" Type="http://schemas.openxmlformats.org/officeDocument/2006/relationships/image" Target="media/image343.png"/><Relationship Id="rId384" Type="http://schemas.openxmlformats.org/officeDocument/2006/relationships/image" Target="media/image344.jpeg"/><Relationship Id="rId385" Type="http://schemas.openxmlformats.org/officeDocument/2006/relationships/image" Target="media/image345.png"/><Relationship Id="rId386" Type="http://schemas.openxmlformats.org/officeDocument/2006/relationships/image" Target="media/image346.png"/><Relationship Id="rId271" Type="http://schemas.openxmlformats.org/officeDocument/2006/relationships/hyperlink" Target="http://www.sec.gov/Archives/edgar/data/1628171/000156459020014169/rvmd-10k_20191231.htm" TargetMode="External"/><Relationship Id="rId272" Type="http://schemas.openxmlformats.org/officeDocument/2006/relationships/hyperlink" Target="http://www.sec.gov/Archives/edgar/data/1628171/000156459020025452/rvmd-10q_20200331.htm" TargetMode="External"/><Relationship Id="rId273" Type="http://schemas.openxmlformats.org/officeDocument/2006/relationships/hyperlink" Target="http://www.sec.gov/Archives/edgar/data/1628171/000119312520040328/d848154d8k.htm" TargetMode="External"/><Relationship Id="rId274" Type="http://schemas.openxmlformats.org/officeDocument/2006/relationships/hyperlink" Target="http://www.sec.gov/Archives/edgar/data/1628171/000119312520080782/d894917d8k.htm" TargetMode="External"/><Relationship Id="rId275" Type="http://schemas.openxmlformats.org/officeDocument/2006/relationships/hyperlink" Target="http://www.sec.gov/Archives/edgar/data/1628171/000119312520113615/d918224d8k.htm" TargetMode="External"/><Relationship Id="rId276" Type="http://schemas.openxmlformats.org/officeDocument/2006/relationships/hyperlink" Target="http://www.sec.gov/Archives/edgar/data/1628171/000119312520171882/d944266d8k.htm" TargetMode="External"/><Relationship Id="rId277" Type="http://schemas.openxmlformats.org/officeDocument/2006/relationships/hyperlink" Target="http://www.sec.gov/Archives/edgar/data/1628171/000119312520026836/d881796d8a12b.htm" TargetMode="External"/><Relationship Id="rId285" Type="http://schemas.openxmlformats.org/officeDocument/2006/relationships/hyperlink" Target="http://www.sec.gov/Archives/edgar/data/1628171/000119312520010145/d799036dex21.htm" TargetMode="External"/><Relationship Id="rId286" Type="http://schemas.openxmlformats.org/officeDocument/2006/relationships/hyperlink" Target="http://www.sec.gov/Archives/edgar/data/1628171/000119312520040328/d848154dex31.htm" TargetMode="External"/><Relationship Id="rId287" Type="http://schemas.openxmlformats.org/officeDocument/2006/relationships/hyperlink" Target="http://www.sec.gov/Archives/edgar/data/1628171/000119312520040328/d848154dex32.htm" TargetMode="External"/><Relationship Id="rId288" Type="http://schemas.openxmlformats.org/officeDocument/2006/relationships/hyperlink" Target="http://www.sec.gov/Archives/edgar/data/0001628171/000119312520010145/d799036dex42.htm" TargetMode="External"/><Relationship Id="rId289" Type="http://schemas.openxmlformats.org/officeDocument/2006/relationships/hyperlink" Target="http://www.sec.gov/Archives/edgar/data/0001628171/000119312520010145/d799036dex101.htm" TargetMode="External"/><Relationship Id="rId290" Type="http://schemas.openxmlformats.org/officeDocument/2006/relationships/hyperlink" Target="http://www.sec.gov/Archives/edgar/data/0001628171/000119312520010145/d799036dex102.htm" TargetMode="External"/><Relationship Id="rId291" Type="http://schemas.openxmlformats.org/officeDocument/2006/relationships/hyperlink" Target="http://www.sec.gov/Archives/edgar/data/0001628171/000119312520010145/d799036dex103a.htm" TargetMode="External"/><Relationship Id="rId292" Type="http://schemas.openxmlformats.org/officeDocument/2006/relationships/hyperlink" Target="http://www.sec.gov/Archives/edgar/data/0001628171/000119312520010145/d799036dex103b.htm" TargetMode="External"/><Relationship Id="rId293" Type="http://schemas.openxmlformats.org/officeDocument/2006/relationships/hyperlink" Target="http://www.sec.gov/Archives/edgar/data/0001628171/000119312520010145/d799036dex103c.htm" TargetMode="External"/><Relationship Id="rId296" Type="http://schemas.openxmlformats.org/officeDocument/2006/relationships/hyperlink" Target="http://www.sec.gov/Archives/edgar/data/1628171/000156459020025452/rvmd-ex104_131.htm" TargetMode="External"/><Relationship Id="rId297" Type="http://schemas.openxmlformats.org/officeDocument/2006/relationships/hyperlink" Target="http://www.sec.gov/Archives/edgar/data/0001628171/000119312520010145/d799036dex104a.htm" TargetMode="External"/><Relationship Id="rId298" Type="http://schemas.openxmlformats.org/officeDocument/2006/relationships/hyperlink" Target="http://www.sec.gov/Archives/edgar/data/0001628171/000119312520010145/d799036dex104b.htm" TargetMode="External"/><Relationship Id="rId299" Type="http://schemas.openxmlformats.org/officeDocument/2006/relationships/hyperlink" Target="http://www.sec.gov/Archives/edgar/data/0001628171/000119312520010145/d799036dex105a.htm" TargetMode="External"/><Relationship Id="rId300" Type="http://schemas.openxmlformats.org/officeDocument/2006/relationships/hyperlink" Target="http://www.sec.gov/Archives/edgar/data/0001628171/000119312520010145/d799036dex105b.htm" TargetMode="External"/><Relationship Id="rId301" Type="http://schemas.openxmlformats.org/officeDocument/2006/relationships/hyperlink" Target="http://www.sec.gov/Archives/edgar/data/0001628171/000119312520010145/d799036dex106a.htm" TargetMode="External"/><Relationship Id="rId302" Type="http://schemas.openxmlformats.org/officeDocument/2006/relationships/hyperlink" Target="http://www.sec.gov/Archives/edgar/data/0001628171/000119312520010145/d799036dex106b.htm" TargetMode="External"/><Relationship Id="rId303" Type="http://schemas.openxmlformats.org/officeDocument/2006/relationships/hyperlink" Target="http://www.sec.gov/Archives/edgar/data/0001628171/000119312520022117/d799036dex107a.htm" TargetMode="External"/><Relationship Id="rId304" Type="http://schemas.openxmlformats.org/officeDocument/2006/relationships/hyperlink" Target="http://www.sec.gov/Archives/edgar/data/0001628171/000119312520022117/d799036dex107b.htm" TargetMode="External"/><Relationship Id="rId305" Type="http://schemas.openxmlformats.org/officeDocument/2006/relationships/hyperlink" Target="http://www.sec.gov/Archives/edgar/data/0001628171/000119312520022117/d799036dex107c.htm" TargetMode="External"/><Relationship Id="rId306" Type="http://schemas.openxmlformats.org/officeDocument/2006/relationships/hyperlink" Target="http://www.sec.gov/Archives/edgar/data/0001628171/000119312520022117/d799036dex107d.htm" TargetMode="External"/><Relationship Id="rId307" Type="http://schemas.openxmlformats.org/officeDocument/2006/relationships/hyperlink" Target="http://www.sec.gov/Archives/edgar/data/0001628171/000119312520022117/d799036dex108.htm" TargetMode="External"/><Relationship Id="rId308" Type="http://schemas.openxmlformats.org/officeDocument/2006/relationships/hyperlink" Target="http://www.sec.gov/Archives/edgar/data/0001628171/000119312520010145/d799036dex109.htm" TargetMode="External"/><Relationship Id="rId309" Type="http://schemas.openxmlformats.org/officeDocument/2006/relationships/hyperlink" Target="http://www.sec.gov/Archives/edgar/data/0001628171/000119312520010145/d799036dex1010.htm" TargetMode="External"/><Relationship Id="rId310" Type="http://schemas.openxmlformats.org/officeDocument/2006/relationships/hyperlink" Target="http://www.sec.gov/Archives/edgar/data/0001628171/000119312520010145/d799036dex1011.htm" TargetMode="External"/><Relationship Id="rId311" Type="http://schemas.openxmlformats.org/officeDocument/2006/relationships/hyperlink" Target="http://www.sec.gov/Archives/edgar/data/0001628171/000119312520022117/d799036dex1013.htm" TargetMode="External"/><Relationship Id="rId312" Type="http://schemas.openxmlformats.org/officeDocument/2006/relationships/hyperlink" Target="http://www.sec.gov/Archives/edgar/data/0001628171/000119312520010145/d79903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2020-07-06T15:05:43Z</dcterms:created>
  <dcterms:modified xsi:type="dcterms:W3CDTF">2020-07-06T15:05:43Z</dcterms:modified>
</cp:coreProperties>
</file>